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49ED0" w14:textId="77777777" w:rsidR="00C00E60" w:rsidRPr="00AE4CCD" w:rsidRDefault="00C00E60" w:rsidP="00C00E60">
      <w:pPr>
        <w:pStyle w:val="WW-BodyText2"/>
        <w:tabs>
          <w:tab w:val="left" w:pos="1260"/>
        </w:tabs>
        <w:spacing w:line="360" w:lineRule="auto"/>
        <w:ind w:left="1080" w:hanging="1080"/>
        <w:jc w:val="center"/>
        <w:rPr>
          <w:rFonts w:ascii="Arial" w:hAnsi="Arial" w:cs="Arial"/>
          <w:i w:val="0"/>
          <w:iCs/>
          <w:sz w:val="22"/>
          <w:szCs w:val="22"/>
          <w:u w:val="single"/>
        </w:rPr>
      </w:pPr>
      <w:r w:rsidRPr="00AE4CCD">
        <w:rPr>
          <w:rFonts w:ascii="Arial" w:hAnsi="Arial" w:cs="Arial"/>
          <w:i w:val="0"/>
          <w:iCs/>
          <w:sz w:val="22"/>
          <w:szCs w:val="22"/>
          <w:u w:val="single"/>
        </w:rPr>
        <w:t>FINANCIAL FOCUS®</w:t>
      </w:r>
    </w:p>
    <w:p w14:paraId="3B0D6C9A" w14:textId="296A1FF0" w:rsidR="00C00E60" w:rsidRDefault="00C00E60" w:rsidP="00C00E60">
      <w:pPr>
        <w:pStyle w:val="WW-BodyText2"/>
        <w:tabs>
          <w:tab w:val="left" w:pos="1260"/>
        </w:tabs>
        <w:spacing w:line="360" w:lineRule="auto"/>
        <w:ind w:left="1080" w:hanging="1080"/>
        <w:jc w:val="center"/>
        <w:rPr>
          <w:rFonts w:ascii="Arial" w:hAnsi="Arial" w:cs="Arial"/>
          <w:i w:val="0"/>
          <w:iCs/>
          <w:sz w:val="22"/>
          <w:szCs w:val="22"/>
          <w:u w:val="single"/>
        </w:rPr>
      </w:pPr>
      <w:r>
        <w:rPr>
          <w:rFonts w:ascii="Arial" w:hAnsi="Arial" w:cs="Arial"/>
          <w:i w:val="0"/>
          <w:iCs/>
          <w:sz w:val="22"/>
          <w:szCs w:val="22"/>
          <w:u w:val="single"/>
        </w:rPr>
        <w:t>New tax laws for 2026 that you should know</w:t>
      </w:r>
    </w:p>
    <w:p w14:paraId="24E889FF" w14:textId="77777777" w:rsidR="00C00E60" w:rsidRDefault="00C00E60" w:rsidP="00C00E60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</w:p>
    <w:p w14:paraId="55080BA9" w14:textId="4228E7E2" w:rsidR="00380FFD" w:rsidRPr="00380FFD" w:rsidRDefault="00380FFD" w:rsidP="003A08A2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380FFD">
        <w:rPr>
          <w:rFonts w:ascii="Arial" w:hAnsi="Arial" w:cs="Arial"/>
          <w:sz w:val="22"/>
          <w:szCs w:val="22"/>
        </w:rPr>
        <w:t>The new year brings more than resolutions and fresh starts</w:t>
      </w:r>
      <w:r w:rsidR="00F43C23" w:rsidRPr="00C00E60">
        <w:rPr>
          <w:rFonts w:ascii="Arial" w:hAnsi="Arial" w:cs="Arial"/>
          <w:sz w:val="22"/>
          <w:szCs w:val="22"/>
        </w:rPr>
        <w:t>;</w:t>
      </w:r>
      <w:r w:rsidRPr="00380FFD">
        <w:rPr>
          <w:rFonts w:ascii="Arial" w:hAnsi="Arial" w:cs="Arial"/>
          <w:sz w:val="22"/>
          <w:szCs w:val="22"/>
        </w:rPr>
        <w:t xml:space="preserve"> it also ushers in several tax changes that could affect your wallet. Whether you're saving for retirement, funding your child's education or supporting your favorite charity, here's </w:t>
      </w:r>
      <w:r w:rsidR="003A08A2">
        <w:rPr>
          <w:rFonts w:ascii="Arial" w:hAnsi="Arial" w:cs="Arial"/>
          <w:sz w:val="22"/>
          <w:szCs w:val="22"/>
        </w:rPr>
        <w:t>are a few things</w:t>
      </w:r>
      <w:r w:rsidR="003A08A2" w:rsidRPr="00380FFD">
        <w:rPr>
          <w:rFonts w:ascii="Arial" w:hAnsi="Arial" w:cs="Arial"/>
          <w:sz w:val="22"/>
          <w:szCs w:val="22"/>
        </w:rPr>
        <w:t xml:space="preserve"> </w:t>
      </w:r>
      <w:r w:rsidRPr="00380FFD">
        <w:rPr>
          <w:rFonts w:ascii="Arial" w:hAnsi="Arial" w:cs="Arial"/>
          <w:sz w:val="22"/>
          <w:szCs w:val="22"/>
        </w:rPr>
        <w:t>you need to know about the tax landscape in 2026</w:t>
      </w:r>
      <w:r w:rsidR="003A08A2" w:rsidRPr="003A08A2">
        <w:rPr>
          <w:rFonts w:ascii="Arial" w:hAnsi="Arial" w:cs="Arial"/>
          <w:sz w:val="22"/>
          <w:szCs w:val="22"/>
        </w:rPr>
        <w:t>.</w:t>
      </w:r>
    </w:p>
    <w:p w14:paraId="0C92FA24" w14:textId="4660CB6C" w:rsidR="00380FFD" w:rsidRPr="00380FFD" w:rsidRDefault="00380FFD" w:rsidP="00C00E60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380FFD">
        <w:rPr>
          <w:rFonts w:ascii="Arial" w:hAnsi="Arial" w:cs="Arial"/>
          <w:b/>
          <w:bCs/>
          <w:sz w:val="22"/>
          <w:szCs w:val="22"/>
        </w:rPr>
        <w:t>More room to save for retirement</w:t>
      </w:r>
      <w:r w:rsidR="003A08A2">
        <w:rPr>
          <w:rFonts w:ascii="Arial" w:hAnsi="Arial" w:cs="Arial"/>
          <w:b/>
          <w:bCs/>
          <w:sz w:val="22"/>
          <w:szCs w:val="22"/>
        </w:rPr>
        <w:t xml:space="preserve"> and healthcare</w:t>
      </w:r>
      <w:r w:rsidR="00C00E60" w:rsidRPr="00C00E60">
        <w:rPr>
          <w:rFonts w:ascii="Arial" w:hAnsi="Arial" w:cs="Arial"/>
          <w:b/>
          <w:bCs/>
          <w:sz w:val="22"/>
          <w:szCs w:val="22"/>
        </w:rPr>
        <w:t xml:space="preserve">. </w:t>
      </w:r>
      <w:r w:rsidR="00676B3E" w:rsidRPr="00C45F90">
        <w:rPr>
          <w:rFonts w:ascii="Arial" w:hAnsi="Arial" w:cs="Arial"/>
          <w:sz w:val="22"/>
          <w:szCs w:val="22"/>
        </w:rPr>
        <w:t>There's good news for savers:</w:t>
      </w:r>
      <w:r w:rsidR="00676B3E">
        <w:rPr>
          <w:rFonts w:ascii="Arial" w:hAnsi="Arial" w:cs="Arial"/>
          <w:b/>
          <w:bCs/>
          <w:sz w:val="22"/>
          <w:szCs w:val="22"/>
        </w:rPr>
        <w:t xml:space="preserve"> </w:t>
      </w:r>
      <w:r w:rsidR="00842007">
        <w:rPr>
          <w:rFonts w:ascii="Arial" w:hAnsi="Arial" w:cs="Arial"/>
          <w:sz w:val="22"/>
          <w:szCs w:val="22"/>
        </w:rPr>
        <w:t>Contribution</w:t>
      </w:r>
      <w:r w:rsidRPr="00380FFD">
        <w:rPr>
          <w:rFonts w:ascii="Arial" w:hAnsi="Arial" w:cs="Arial"/>
          <w:sz w:val="22"/>
          <w:szCs w:val="22"/>
        </w:rPr>
        <w:t xml:space="preserve"> limits for retirement accounts are going up. If you're under 50, you can now contribute up to $7,500 to an IRA, </w:t>
      </w:r>
      <w:r w:rsidR="003A08A2">
        <w:rPr>
          <w:rFonts w:ascii="Arial" w:hAnsi="Arial" w:cs="Arial"/>
          <w:sz w:val="22"/>
          <w:szCs w:val="22"/>
        </w:rPr>
        <w:t>which is up</w:t>
      </w:r>
      <w:r w:rsidR="003A08A2" w:rsidRPr="00380FFD">
        <w:rPr>
          <w:rFonts w:ascii="Arial" w:hAnsi="Arial" w:cs="Arial"/>
          <w:sz w:val="22"/>
          <w:szCs w:val="22"/>
        </w:rPr>
        <w:t xml:space="preserve"> </w:t>
      </w:r>
      <w:r w:rsidRPr="00380FFD">
        <w:rPr>
          <w:rFonts w:ascii="Arial" w:hAnsi="Arial" w:cs="Arial"/>
          <w:sz w:val="22"/>
          <w:szCs w:val="22"/>
        </w:rPr>
        <w:t>from $7,000 in 2025. Those 50 and older can contribute</w:t>
      </w:r>
      <w:r w:rsidR="003A08A2">
        <w:rPr>
          <w:rFonts w:ascii="Arial" w:hAnsi="Arial" w:cs="Arial"/>
          <w:sz w:val="22"/>
          <w:szCs w:val="22"/>
        </w:rPr>
        <w:t xml:space="preserve"> an additional $1,</w:t>
      </w:r>
      <w:r w:rsidR="00B81F65">
        <w:rPr>
          <w:rFonts w:ascii="Arial" w:hAnsi="Arial" w:cs="Arial"/>
          <w:sz w:val="22"/>
          <w:szCs w:val="22"/>
        </w:rPr>
        <w:t>1</w:t>
      </w:r>
      <w:r w:rsidR="003A08A2">
        <w:rPr>
          <w:rFonts w:ascii="Arial" w:hAnsi="Arial" w:cs="Arial"/>
          <w:sz w:val="22"/>
          <w:szCs w:val="22"/>
        </w:rPr>
        <w:t>00, for a total of</w:t>
      </w:r>
      <w:r w:rsidRPr="00380FFD">
        <w:rPr>
          <w:rFonts w:ascii="Arial" w:hAnsi="Arial" w:cs="Arial"/>
          <w:sz w:val="22"/>
          <w:szCs w:val="22"/>
        </w:rPr>
        <w:t xml:space="preserve"> $8,600.</w:t>
      </w:r>
    </w:p>
    <w:p w14:paraId="7C8E9D6C" w14:textId="679FCD5C" w:rsidR="00842007" w:rsidRDefault="00380FFD" w:rsidP="00C00E60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380FFD">
        <w:rPr>
          <w:rFonts w:ascii="Arial" w:hAnsi="Arial" w:cs="Arial"/>
          <w:sz w:val="22"/>
          <w:szCs w:val="22"/>
        </w:rPr>
        <w:t xml:space="preserve">The limits for 401(k), 403(b) and governmental 457(b) plans are also increasing, with workers </w:t>
      </w:r>
      <w:r w:rsidR="003A08A2">
        <w:rPr>
          <w:rFonts w:ascii="Arial" w:hAnsi="Arial" w:cs="Arial"/>
          <w:sz w:val="22"/>
          <w:szCs w:val="22"/>
        </w:rPr>
        <w:t>younger than</w:t>
      </w:r>
      <w:r w:rsidR="003A08A2" w:rsidRPr="00380FFD">
        <w:rPr>
          <w:rFonts w:ascii="Arial" w:hAnsi="Arial" w:cs="Arial"/>
          <w:sz w:val="22"/>
          <w:szCs w:val="22"/>
        </w:rPr>
        <w:t xml:space="preserve"> </w:t>
      </w:r>
      <w:r w:rsidRPr="00380FFD">
        <w:rPr>
          <w:rFonts w:ascii="Arial" w:hAnsi="Arial" w:cs="Arial"/>
          <w:sz w:val="22"/>
          <w:szCs w:val="22"/>
        </w:rPr>
        <w:t xml:space="preserve">50 able to </w:t>
      </w:r>
      <w:proofErr w:type="gramStart"/>
      <w:r w:rsidRPr="00380FFD">
        <w:rPr>
          <w:rFonts w:ascii="Arial" w:hAnsi="Arial" w:cs="Arial"/>
          <w:sz w:val="22"/>
          <w:szCs w:val="22"/>
        </w:rPr>
        <w:t>defer</w:t>
      </w:r>
      <w:proofErr w:type="gramEnd"/>
      <w:r w:rsidRPr="00380FFD">
        <w:rPr>
          <w:rFonts w:ascii="Arial" w:hAnsi="Arial" w:cs="Arial"/>
          <w:sz w:val="22"/>
          <w:szCs w:val="22"/>
        </w:rPr>
        <w:t xml:space="preserve"> up to $24,500</w:t>
      </w:r>
      <w:r w:rsidR="00842007">
        <w:rPr>
          <w:rFonts w:ascii="Arial" w:hAnsi="Arial" w:cs="Arial"/>
          <w:sz w:val="22"/>
          <w:szCs w:val="22"/>
        </w:rPr>
        <w:t xml:space="preserve">. </w:t>
      </w:r>
      <w:r w:rsidR="00D931FF">
        <w:rPr>
          <w:rFonts w:ascii="Arial" w:hAnsi="Arial" w:cs="Arial"/>
          <w:sz w:val="22"/>
          <w:szCs w:val="22"/>
        </w:rPr>
        <w:t xml:space="preserve">Visit </w:t>
      </w:r>
      <w:hyperlink r:id="rId5" w:history="1">
        <w:r w:rsidR="00D931FF" w:rsidRPr="00D931FF">
          <w:rPr>
            <w:rStyle w:val="Hyperlink"/>
            <w:rFonts w:ascii="Arial" w:hAnsi="Arial" w:cs="Arial"/>
            <w:sz w:val="22"/>
            <w:szCs w:val="22"/>
          </w:rPr>
          <w:t>IRS.gov</w:t>
        </w:r>
      </w:hyperlink>
      <w:r w:rsidR="00D931FF">
        <w:rPr>
          <w:rFonts w:ascii="Arial" w:hAnsi="Arial" w:cs="Arial"/>
          <w:sz w:val="22"/>
          <w:szCs w:val="22"/>
        </w:rPr>
        <w:t xml:space="preserve"> and search "401k limit increases" for </w:t>
      </w:r>
      <w:r w:rsidR="003A08A2">
        <w:rPr>
          <w:rFonts w:ascii="Arial" w:hAnsi="Arial" w:cs="Arial"/>
          <w:sz w:val="22"/>
          <w:szCs w:val="22"/>
        </w:rPr>
        <w:t xml:space="preserve">an article outlining the </w:t>
      </w:r>
      <w:r w:rsidR="00D931FF">
        <w:rPr>
          <w:rFonts w:ascii="Arial" w:hAnsi="Arial" w:cs="Arial"/>
          <w:sz w:val="22"/>
          <w:szCs w:val="22"/>
        </w:rPr>
        <w:t>details</w:t>
      </w:r>
      <w:r w:rsidR="00842007">
        <w:rPr>
          <w:rFonts w:ascii="Arial" w:hAnsi="Arial" w:cs="Arial"/>
          <w:sz w:val="22"/>
          <w:szCs w:val="22"/>
        </w:rPr>
        <w:t>.</w:t>
      </w:r>
    </w:p>
    <w:p w14:paraId="7D930154" w14:textId="238160A5" w:rsidR="00380FFD" w:rsidRPr="00380FFD" w:rsidRDefault="00380FFD" w:rsidP="00C00E60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380FFD">
        <w:rPr>
          <w:rFonts w:ascii="Arial" w:hAnsi="Arial" w:cs="Arial"/>
          <w:sz w:val="22"/>
          <w:szCs w:val="22"/>
        </w:rPr>
        <w:t>Health savings account limits are rising too</w:t>
      </w:r>
      <w:r w:rsidR="003A08A2">
        <w:rPr>
          <w:rFonts w:ascii="Arial" w:hAnsi="Arial" w:cs="Arial"/>
          <w:sz w:val="22"/>
          <w:szCs w:val="22"/>
        </w:rPr>
        <w:t xml:space="preserve">. In 2026, </w:t>
      </w:r>
      <w:r w:rsidRPr="00380FFD">
        <w:rPr>
          <w:rFonts w:ascii="Arial" w:hAnsi="Arial" w:cs="Arial"/>
          <w:sz w:val="22"/>
          <w:szCs w:val="22"/>
        </w:rPr>
        <w:t xml:space="preserve">individual coverage </w:t>
      </w:r>
      <w:r w:rsidR="003A08A2">
        <w:rPr>
          <w:rFonts w:ascii="Arial" w:hAnsi="Arial" w:cs="Arial"/>
          <w:sz w:val="22"/>
          <w:szCs w:val="22"/>
        </w:rPr>
        <w:t>increased</w:t>
      </w:r>
      <w:r w:rsidR="003A08A2" w:rsidRPr="00380FFD">
        <w:rPr>
          <w:rFonts w:ascii="Arial" w:hAnsi="Arial" w:cs="Arial"/>
          <w:sz w:val="22"/>
          <w:szCs w:val="22"/>
        </w:rPr>
        <w:t xml:space="preserve"> </w:t>
      </w:r>
      <w:r w:rsidRPr="00380FFD">
        <w:rPr>
          <w:rFonts w:ascii="Arial" w:hAnsi="Arial" w:cs="Arial"/>
          <w:sz w:val="22"/>
          <w:szCs w:val="22"/>
        </w:rPr>
        <w:t>to $4,400 and family coverage to $8,750.</w:t>
      </w:r>
      <w:r w:rsidR="00D931FF">
        <w:rPr>
          <w:rFonts w:ascii="Arial" w:hAnsi="Arial" w:cs="Arial"/>
          <w:sz w:val="22"/>
          <w:szCs w:val="22"/>
        </w:rPr>
        <w:t xml:space="preserve"> </w:t>
      </w:r>
      <w:r w:rsidR="003A08A2">
        <w:rPr>
          <w:rFonts w:ascii="Arial" w:hAnsi="Arial" w:cs="Arial"/>
          <w:sz w:val="22"/>
          <w:szCs w:val="22"/>
        </w:rPr>
        <w:t xml:space="preserve">If you are </w:t>
      </w:r>
      <w:r w:rsidR="00D931FF">
        <w:rPr>
          <w:rFonts w:ascii="Arial" w:hAnsi="Arial" w:cs="Arial"/>
          <w:sz w:val="22"/>
          <w:szCs w:val="22"/>
        </w:rPr>
        <w:t xml:space="preserve">age 55 or older </w:t>
      </w:r>
      <w:r w:rsidR="003A08A2">
        <w:rPr>
          <w:rFonts w:ascii="Arial" w:hAnsi="Arial" w:cs="Arial"/>
          <w:sz w:val="22"/>
          <w:szCs w:val="22"/>
        </w:rPr>
        <w:t>and are</w:t>
      </w:r>
      <w:r w:rsidR="00D931FF">
        <w:rPr>
          <w:rFonts w:ascii="Arial" w:hAnsi="Arial" w:cs="Arial"/>
          <w:sz w:val="22"/>
          <w:szCs w:val="22"/>
        </w:rPr>
        <w:t xml:space="preserve"> not enrolled in Medicare</w:t>
      </w:r>
      <w:r w:rsidR="003A08A2">
        <w:rPr>
          <w:rFonts w:ascii="Arial" w:hAnsi="Arial" w:cs="Arial"/>
          <w:sz w:val="22"/>
          <w:szCs w:val="22"/>
        </w:rPr>
        <w:t xml:space="preserve">, you can </w:t>
      </w:r>
      <w:r w:rsidR="00D931FF">
        <w:rPr>
          <w:rFonts w:ascii="Arial" w:hAnsi="Arial" w:cs="Arial"/>
          <w:sz w:val="22"/>
          <w:szCs w:val="22"/>
        </w:rPr>
        <w:t>contribut</w:t>
      </w:r>
      <w:r w:rsidR="003A08A2">
        <w:rPr>
          <w:rFonts w:ascii="Arial" w:hAnsi="Arial" w:cs="Arial"/>
          <w:sz w:val="22"/>
          <w:szCs w:val="22"/>
        </w:rPr>
        <w:t>e</w:t>
      </w:r>
      <w:r w:rsidR="00D931FF">
        <w:rPr>
          <w:rFonts w:ascii="Arial" w:hAnsi="Arial" w:cs="Arial"/>
          <w:sz w:val="22"/>
          <w:szCs w:val="22"/>
        </w:rPr>
        <w:t xml:space="preserve"> an additional $1,000 as a catch-up contribution.</w:t>
      </w:r>
    </w:p>
    <w:p w14:paraId="0BA6F3F2" w14:textId="35656D1D" w:rsidR="00380FFD" w:rsidRPr="00380FFD" w:rsidRDefault="00380FFD" w:rsidP="00C00E60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380FFD">
        <w:rPr>
          <w:rFonts w:ascii="Arial" w:hAnsi="Arial" w:cs="Arial"/>
          <w:sz w:val="22"/>
          <w:szCs w:val="22"/>
        </w:rPr>
        <w:t xml:space="preserve">The start of the year is an ideal time to review your contributions and consider increasing them, even by small amounts </w:t>
      </w:r>
      <w:r w:rsidR="003A08A2">
        <w:rPr>
          <w:rFonts w:ascii="Arial" w:hAnsi="Arial" w:cs="Arial"/>
          <w:sz w:val="22"/>
          <w:szCs w:val="22"/>
        </w:rPr>
        <w:t>which</w:t>
      </w:r>
      <w:r w:rsidR="003A08A2" w:rsidRPr="00380FFD">
        <w:rPr>
          <w:rFonts w:ascii="Arial" w:hAnsi="Arial" w:cs="Arial"/>
          <w:sz w:val="22"/>
          <w:szCs w:val="22"/>
        </w:rPr>
        <w:t xml:space="preserve"> </w:t>
      </w:r>
      <w:r w:rsidRPr="00380FFD">
        <w:rPr>
          <w:rFonts w:ascii="Arial" w:hAnsi="Arial" w:cs="Arial"/>
          <w:sz w:val="22"/>
          <w:szCs w:val="22"/>
        </w:rPr>
        <w:t>can add up over time.</w:t>
      </w:r>
    </w:p>
    <w:p w14:paraId="76F9BDC1" w14:textId="1C298C5A" w:rsidR="00380FFD" w:rsidRPr="00380FFD" w:rsidRDefault="00380FFD" w:rsidP="00A012E5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380FFD">
        <w:rPr>
          <w:rFonts w:ascii="Arial" w:hAnsi="Arial" w:cs="Arial"/>
          <w:b/>
          <w:bCs/>
          <w:sz w:val="22"/>
          <w:szCs w:val="22"/>
        </w:rPr>
        <w:t>A catch-up rule for high earners</w:t>
      </w:r>
      <w:r w:rsidR="00C00E60" w:rsidRPr="00C00E60">
        <w:rPr>
          <w:rFonts w:ascii="Arial" w:hAnsi="Arial" w:cs="Arial"/>
          <w:b/>
          <w:bCs/>
          <w:sz w:val="22"/>
          <w:szCs w:val="22"/>
        </w:rPr>
        <w:t xml:space="preserve">. </w:t>
      </w:r>
      <w:r w:rsidRPr="00380FFD">
        <w:rPr>
          <w:rFonts w:ascii="Arial" w:hAnsi="Arial" w:cs="Arial"/>
          <w:sz w:val="22"/>
          <w:szCs w:val="22"/>
        </w:rPr>
        <w:t>If you're 50 or older and earned more than $150,000 last year, there's a new wrinkle in your retirement planning. You can still make catch-up contributions to your workplace retirement plan, but they must now be Roth contributions rather than traditional pre-tax contributions.</w:t>
      </w:r>
      <w:r w:rsidR="00A012E5">
        <w:rPr>
          <w:rFonts w:ascii="Arial" w:hAnsi="Arial" w:cs="Arial"/>
          <w:sz w:val="22"/>
          <w:szCs w:val="22"/>
        </w:rPr>
        <w:t xml:space="preserve"> </w:t>
      </w:r>
      <w:r w:rsidR="00A012E5" w:rsidRPr="00A012E5">
        <w:rPr>
          <w:rFonts w:ascii="Arial" w:hAnsi="Arial" w:cs="Arial"/>
          <w:sz w:val="22"/>
          <w:szCs w:val="22"/>
        </w:rPr>
        <w:t>This includes</w:t>
      </w:r>
      <w:r w:rsidR="00A012E5">
        <w:rPr>
          <w:rFonts w:ascii="Arial" w:hAnsi="Arial" w:cs="Arial"/>
          <w:sz w:val="22"/>
          <w:szCs w:val="22"/>
        </w:rPr>
        <w:t xml:space="preserve"> </w:t>
      </w:r>
      <w:r w:rsidR="00A012E5" w:rsidRPr="00A012E5">
        <w:rPr>
          <w:rFonts w:ascii="Arial" w:hAnsi="Arial" w:cs="Arial"/>
          <w:sz w:val="22"/>
          <w:szCs w:val="22"/>
        </w:rPr>
        <w:t>401(k), 403(b) and 457(b) plans.</w:t>
      </w:r>
    </w:p>
    <w:p w14:paraId="65F18295" w14:textId="77777777" w:rsidR="00380FFD" w:rsidRPr="00380FFD" w:rsidRDefault="00380FFD" w:rsidP="00C00E60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380FFD">
        <w:rPr>
          <w:rFonts w:ascii="Arial" w:hAnsi="Arial" w:cs="Arial"/>
          <w:sz w:val="22"/>
          <w:szCs w:val="22"/>
        </w:rPr>
        <w:t>While you won't get an immediate tax break, Roth contributions offer tax-free income in retirement and can provide a tax-free legacy for your heirs.</w:t>
      </w:r>
    </w:p>
    <w:p w14:paraId="076E0DAE" w14:textId="4D07D2F0" w:rsidR="00380FFD" w:rsidRPr="00380FFD" w:rsidRDefault="00380FFD" w:rsidP="00C00E60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380FFD">
        <w:rPr>
          <w:rFonts w:ascii="Arial" w:hAnsi="Arial" w:cs="Arial"/>
          <w:b/>
          <w:bCs/>
          <w:sz w:val="22"/>
          <w:szCs w:val="22"/>
        </w:rPr>
        <w:t>Expanded benefits for 529 education plans</w:t>
      </w:r>
      <w:r w:rsidR="00C00E60" w:rsidRPr="00C00E60">
        <w:rPr>
          <w:rFonts w:ascii="Arial" w:hAnsi="Arial" w:cs="Arial"/>
          <w:b/>
          <w:bCs/>
          <w:sz w:val="22"/>
          <w:szCs w:val="22"/>
        </w:rPr>
        <w:t xml:space="preserve">. </w:t>
      </w:r>
      <w:r w:rsidRPr="00380FFD">
        <w:rPr>
          <w:rFonts w:ascii="Arial" w:hAnsi="Arial" w:cs="Arial"/>
          <w:sz w:val="22"/>
          <w:szCs w:val="22"/>
        </w:rPr>
        <w:t>Families using 529 plans to cover K-12 expenses will see the annual federal distribution limit double from $10,000 to $20,000 per student. The definition of qualifying expenses has also expanded to include curriculum, books, certain tutoring expenses and testing fees.</w:t>
      </w:r>
    </w:p>
    <w:p w14:paraId="240F8562" w14:textId="77777777" w:rsidR="00380FFD" w:rsidRPr="00380FFD" w:rsidRDefault="00380FFD" w:rsidP="00C00E60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380FFD">
        <w:rPr>
          <w:rFonts w:ascii="Arial" w:hAnsi="Arial" w:cs="Arial"/>
          <w:sz w:val="22"/>
          <w:szCs w:val="22"/>
        </w:rPr>
        <w:t>This change provides more flexibility for families with overfunded plans and increases options for managing education costs across multiple children or beneficiaries.</w:t>
      </w:r>
    </w:p>
    <w:p w14:paraId="1CE86428" w14:textId="5E921919" w:rsidR="00380FFD" w:rsidRPr="00380FFD" w:rsidRDefault="00380FFD" w:rsidP="00C00E60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380FFD">
        <w:rPr>
          <w:rFonts w:ascii="Arial" w:hAnsi="Arial" w:cs="Arial"/>
          <w:b/>
          <w:bCs/>
          <w:sz w:val="22"/>
          <w:szCs w:val="22"/>
        </w:rPr>
        <w:t>New charitable giving provisions</w:t>
      </w:r>
      <w:r w:rsidR="00C00E60" w:rsidRPr="00C00E60">
        <w:rPr>
          <w:rFonts w:ascii="Arial" w:hAnsi="Arial" w:cs="Arial"/>
          <w:b/>
          <w:bCs/>
          <w:sz w:val="22"/>
          <w:szCs w:val="22"/>
        </w:rPr>
        <w:t xml:space="preserve">. </w:t>
      </w:r>
      <w:r w:rsidRPr="00380FFD">
        <w:rPr>
          <w:rFonts w:ascii="Arial" w:hAnsi="Arial" w:cs="Arial"/>
          <w:sz w:val="22"/>
          <w:szCs w:val="22"/>
        </w:rPr>
        <w:t>The rules around charitable deductions are shifting in two directions. Taxpayers who take the standard deduction can now deduct up to $1,000 in cash donations ($2,000 for joint filers) to qualified organizations.</w:t>
      </w:r>
    </w:p>
    <w:p w14:paraId="1A57175B" w14:textId="77777777" w:rsidR="00380FFD" w:rsidRPr="00380FFD" w:rsidRDefault="00380FFD" w:rsidP="00C00E60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380FFD">
        <w:rPr>
          <w:rFonts w:ascii="Arial" w:hAnsi="Arial" w:cs="Arial"/>
          <w:sz w:val="22"/>
          <w:szCs w:val="22"/>
        </w:rPr>
        <w:lastRenderedPageBreak/>
        <w:t>However, those who itemize deductions face a new threshold: only charitable contributions exceeding 0.5% of adjusted gross income are now deductible. Donors may want to consider bunching strategies or using donor-advised funds to maximize their tax benefits.</w:t>
      </w:r>
    </w:p>
    <w:p w14:paraId="01C28023" w14:textId="6EAFAA6A" w:rsidR="00380FFD" w:rsidRPr="00380FFD" w:rsidRDefault="00380FFD" w:rsidP="00C00E60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380FFD">
        <w:rPr>
          <w:rFonts w:ascii="Arial" w:hAnsi="Arial" w:cs="Arial"/>
          <w:b/>
          <w:bCs/>
          <w:sz w:val="22"/>
          <w:szCs w:val="22"/>
        </w:rPr>
        <w:t>Getting help</w:t>
      </w:r>
      <w:r w:rsidR="00C00E60" w:rsidRPr="00C00E60">
        <w:rPr>
          <w:rFonts w:ascii="Arial" w:hAnsi="Arial" w:cs="Arial"/>
          <w:b/>
          <w:bCs/>
          <w:sz w:val="22"/>
          <w:szCs w:val="22"/>
        </w:rPr>
        <w:t xml:space="preserve">. </w:t>
      </w:r>
      <w:r w:rsidR="00676B3E" w:rsidRPr="00C45F90">
        <w:rPr>
          <w:rFonts w:ascii="Arial" w:hAnsi="Arial" w:cs="Arial"/>
          <w:sz w:val="22"/>
          <w:szCs w:val="22"/>
        </w:rPr>
        <w:t xml:space="preserve">Navigating these tax changes can be challenging, but you don't have to </w:t>
      </w:r>
      <w:r w:rsidR="00A012E5">
        <w:rPr>
          <w:rFonts w:ascii="Arial" w:hAnsi="Arial" w:cs="Arial"/>
          <w:sz w:val="22"/>
          <w:szCs w:val="22"/>
        </w:rPr>
        <w:t>go it</w:t>
      </w:r>
      <w:r w:rsidR="00676B3E" w:rsidRPr="00C45F90">
        <w:rPr>
          <w:rFonts w:ascii="Arial" w:hAnsi="Arial" w:cs="Arial"/>
          <w:sz w:val="22"/>
          <w:szCs w:val="22"/>
        </w:rPr>
        <w:t xml:space="preserve"> them alone.</w:t>
      </w:r>
      <w:r w:rsidR="00676B3E" w:rsidRPr="00676B3E">
        <w:rPr>
          <w:rFonts w:ascii="Arial" w:hAnsi="Arial" w:cs="Arial"/>
          <w:b/>
          <w:bCs/>
          <w:sz w:val="22"/>
          <w:szCs w:val="22"/>
        </w:rPr>
        <w:t xml:space="preserve"> </w:t>
      </w:r>
      <w:r w:rsidR="00676B3E">
        <w:rPr>
          <w:rFonts w:ascii="Arial" w:hAnsi="Arial" w:cs="Arial"/>
          <w:sz w:val="22"/>
          <w:szCs w:val="22"/>
        </w:rPr>
        <w:t>A</w:t>
      </w:r>
      <w:r w:rsidRPr="00380FFD">
        <w:rPr>
          <w:rFonts w:ascii="Arial" w:hAnsi="Arial" w:cs="Arial"/>
          <w:sz w:val="22"/>
          <w:szCs w:val="22"/>
        </w:rPr>
        <w:t xml:space="preserve"> qualified financial advisor and tax professional can help you understand how these </w:t>
      </w:r>
      <w:r w:rsidR="00676B3E">
        <w:rPr>
          <w:rFonts w:ascii="Arial" w:hAnsi="Arial" w:cs="Arial"/>
          <w:sz w:val="22"/>
          <w:szCs w:val="22"/>
        </w:rPr>
        <w:t xml:space="preserve">and other </w:t>
      </w:r>
      <w:r w:rsidRPr="00380FFD">
        <w:rPr>
          <w:rFonts w:ascii="Arial" w:hAnsi="Arial" w:cs="Arial"/>
          <w:sz w:val="22"/>
          <w:szCs w:val="22"/>
        </w:rPr>
        <w:t>changes affect your specific situation</w:t>
      </w:r>
      <w:r w:rsidR="00676B3E">
        <w:rPr>
          <w:rFonts w:ascii="Arial" w:hAnsi="Arial" w:cs="Arial"/>
          <w:sz w:val="22"/>
          <w:szCs w:val="22"/>
        </w:rPr>
        <w:t>. Together, you can</w:t>
      </w:r>
      <w:r w:rsidRPr="00380FFD">
        <w:rPr>
          <w:rFonts w:ascii="Arial" w:hAnsi="Arial" w:cs="Arial"/>
          <w:sz w:val="22"/>
          <w:szCs w:val="22"/>
        </w:rPr>
        <w:t xml:space="preserve"> develop strategies to make the most of new opportunities while minimizing your tax burden.</w:t>
      </w:r>
    </w:p>
    <w:p w14:paraId="2C58E5E6" w14:textId="77777777" w:rsidR="00C00E60" w:rsidRDefault="00C00E60" w:rsidP="00C00E60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</w:p>
    <w:p w14:paraId="69786A44" w14:textId="77777777" w:rsidR="00C00E60" w:rsidRDefault="00C00E60" w:rsidP="00C00E60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 # #</w:t>
      </w:r>
    </w:p>
    <w:p w14:paraId="4B919801" w14:textId="77777777" w:rsidR="00C00E60" w:rsidRDefault="00C00E60" w:rsidP="00C00E60">
      <w:pPr>
        <w:spacing w:after="0" w:line="360" w:lineRule="auto"/>
        <w:rPr>
          <w:rFonts w:ascii="Arial" w:hAnsi="Arial" w:cs="Arial"/>
          <w:sz w:val="22"/>
          <w:szCs w:val="22"/>
        </w:rPr>
      </w:pPr>
    </w:p>
    <w:p w14:paraId="2B814E62" w14:textId="77777777" w:rsidR="00C00E60" w:rsidRPr="009A5033" w:rsidRDefault="00C00E60" w:rsidP="00C00E60">
      <w:pPr>
        <w:spacing w:after="0" w:line="360" w:lineRule="auto"/>
        <w:rPr>
          <w:rFonts w:ascii="Arial" w:hAnsi="Arial" w:cs="Arial"/>
          <w:i/>
          <w:sz w:val="22"/>
          <w:szCs w:val="22"/>
        </w:rPr>
      </w:pPr>
      <w:r w:rsidRPr="009A5033">
        <w:rPr>
          <w:rFonts w:ascii="Arial" w:hAnsi="Arial" w:cs="Arial"/>
          <w:i/>
          <w:sz w:val="22"/>
          <w:szCs w:val="22"/>
        </w:rPr>
        <w:t>This article was written by Edward Jones for use by your local Edward Jones Financial Advisor.</w:t>
      </w:r>
    </w:p>
    <w:p w14:paraId="5A15DD7D" w14:textId="77777777" w:rsidR="00DC7193" w:rsidRDefault="00C00E60" w:rsidP="00C00E60">
      <w:pPr>
        <w:spacing w:after="0" w:line="360" w:lineRule="auto"/>
        <w:rPr>
          <w:rFonts w:ascii="Arial" w:hAnsi="Arial" w:cs="Arial"/>
          <w:i/>
          <w:sz w:val="22"/>
          <w:szCs w:val="22"/>
        </w:rPr>
      </w:pPr>
      <w:r w:rsidRPr="009A5033">
        <w:rPr>
          <w:rFonts w:ascii="Arial" w:hAnsi="Arial" w:cs="Arial"/>
          <w:i/>
          <w:sz w:val="22"/>
          <w:szCs w:val="22"/>
        </w:rPr>
        <w:t>Edward Jones, Member SIPC</w:t>
      </w:r>
      <w:r w:rsidR="00842007">
        <w:rPr>
          <w:rFonts w:ascii="Arial" w:hAnsi="Arial" w:cs="Arial"/>
          <w:i/>
          <w:sz w:val="22"/>
          <w:szCs w:val="22"/>
        </w:rPr>
        <w:t xml:space="preserve">. </w:t>
      </w:r>
    </w:p>
    <w:p w14:paraId="68404C13" w14:textId="77777777" w:rsidR="00DC7193" w:rsidRDefault="00DC7193" w:rsidP="00C00E60">
      <w:pPr>
        <w:spacing w:after="0" w:line="360" w:lineRule="auto"/>
        <w:rPr>
          <w:rFonts w:ascii="Arial" w:hAnsi="Arial" w:cs="Arial"/>
          <w:i/>
          <w:sz w:val="22"/>
          <w:szCs w:val="22"/>
        </w:rPr>
      </w:pPr>
    </w:p>
    <w:p w14:paraId="58FE8156" w14:textId="13DEDFE7" w:rsidR="00C00E60" w:rsidRPr="009A5033" w:rsidRDefault="00C00E60" w:rsidP="00C00E60">
      <w:pPr>
        <w:spacing w:after="0" w:line="360" w:lineRule="auto"/>
        <w:rPr>
          <w:rFonts w:ascii="Arial" w:hAnsi="Arial" w:cs="Arial"/>
          <w:iCs/>
          <w:sz w:val="20"/>
          <w:szCs w:val="20"/>
        </w:rPr>
      </w:pPr>
      <w:bookmarkStart w:id="0" w:name="_Hlk216965388"/>
      <w:r w:rsidRPr="00842007">
        <w:rPr>
          <w:rFonts w:ascii="Arial" w:hAnsi="Arial" w:cs="Arial"/>
          <w:i/>
          <w:sz w:val="22"/>
          <w:szCs w:val="22"/>
        </w:rPr>
        <w:t xml:space="preserve">Edward Jones, its employees and financial </w:t>
      </w:r>
      <w:proofErr w:type="gramStart"/>
      <w:r w:rsidRPr="00842007">
        <w:rPr>
          <w:rFonts w:ascii="Arial" w:hAnsi="Arial" w:cs="Arial"/>
          <w:i/>
          <w:sz w:val="22"/>
          <w:szCs w:val="22"/>
        </w:rPr>
        <w:t>advisors</w:t>
      </w:r>
      <w:proofErr w:type="gramEnd"/>
      <w:r w:rsidRPr="00842007">
        <w:rPr>
          <w:rFonts w:ascii="Arial" w:hAnsi="Arial" w:cs="Arial"/>
          <w:i/>
          <w:sz w:val="22"/>
          <w:szCs w:val="22"/>
        </w:rPr>
        <w:t xml:space="preserve"> cannot provide tax or legal advice. You should</w:t>
      </w:r>
      <w:r w:rsidRPr="009A5033">
        <w:rPr>
          <w:rFonts w:ascii="Arial" w:hAnsi="Arial" w:cs="Arial"/>
          <w:iCs/>
          <w:sz w:val="20"/>
          <w:szCs w:val="20"/>
        </w:rPr>
        <w:t xml:space="preserve"> </w:t>
      </w:r>
      <w:r w:rsidRPr="00842007">
        <w:rPr>
          <w:rFonts w:ascii="Arial" w:hAnsi="Arial" w:cs="Arial"/>
          <w:i/>
          <w:sz w:val="22"/>
          <w:szCs w:val="22"/>
        </w:rPr>
        <w:t>consult your</w:t>
      </w:r>
      <w:r w:rsidRPr="009A5033">
        <w:rPr>
          <w:rFonts w:ascii="Arial" w:hAnsi="Arial" w:cs="Arial"/>
          <w:iCs/>
          <w:sz w:val="20"/>
          <w:szCs w:val="20"/>
        </w:rPr>
        <w:t xml:space="preserve"> </w:t>
      </w:r>
      <w:r w:rsidRPr="00842007">
        <w:rPr>
          <w:rFonts w:ascii="Arial" w:hAnsi="Arial" w:cs="Arial"/>
          <w:i/>
          <w:sz w:val="22"/>
          <w:szCs w:val="22"/>
        </w:rPr>
        <w:t>attorney or qualified tax advisor regarding your situation.</w:t>
      </w:r>
    </w:p>
    <w:bookmarkEnd w:id="0"/>
    <w:p w14:paraId="36B4B0A3" w14:textId="77777777" w:rsidR="00C00E60" w:rsidRDefault="00C00E60" w:rsidP="00C00E60">
      <w:pPr>
        <w:spacing w:after="0" w:line="360" w:lineRule="auto"/>
        <w:jc w:val="right"/>
        <w:rPr>
          <w:rFonts w:ascii="Arial" w:hAnsi="Arial" w:cs="Arial"/>
          <w:sz w:val="22"/>
          <w:szCs w:val="22"/>
        </w:rPr>
      </w:pPr>
    </w:p>
    <w:p w14:paraId="4CE92260" w14:textId="2B9557F8" w:rsidR="00C00E60" w:rsidRDefault="00A012E5" w:rsidP="00C00E60">
      <w:pPr>
        <w:spacing w:after="0"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488 </w:t>
      </w:r>
      <w:r w:rsidR="00C00E60">
        <w:rPr>
          <w:rFonts w:ascii="Arial" w:hAnsi="Arial" w:cs="Arial"/>
          <w:sz w:val="22"/>
          <w:szCs w:val="22"/>
        </w:rPr>
        <w:t>words</w:t>
      </w:r>
    </w:p>
    <w:p w14:paraId="43525481" w14:textId="77777777" w:rsidR="009C0A6E" w:rsidRDefault="009C0A6E"/>
    <w:sectPr w:rsidR="009C0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FD"/>
    <w:rsid w:val="001A3825"/>
    <w:rsid w:val="002A64D4"/>
    <w:rsid w:val="0037214D"/>
    <w:rsid w:val="00380FFD"/>
    <w:rsid w:val="003A08A2"/>
    <w:rsid w:val="00676B3E"/>
    <w:rsid w:val="00734A38"/>
    <w:rsid w:val="00842007"/>
    <w:rsid w:val="00924929"/>
    <w:rsid w:val="00972E48"/>
    <w:rsid w:val="009C0A6E"/>
    <w:rsid w:val="00A012E5"/>
    <w:rsid w:val="00B81F65"/>
    <w:rsid w:val="00C00E60"/>
    <w:rsid w:val="00C45F90"/>
    <w:rsid w:val="00C57D70"/>
    <w:rsid w:val="00D931FF"/>
    <w:rsid w:val="00DC7193"/>
    <w:rsid w:val="00E17AD3"/>
    <w:rsid w:val="00E17B85"/>
    <w:rsid w:val="00E428A2"/>
    <w:rsid w:val="00E63E6F"/>
    <w:rsid w:val="00ED4A2D"/>
    <w:rsid w:val="00F43C23"/>
    <w:rsid w:val="00FE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A5363"/>
  <w15:chartTrackingRefBased/>
  <w15:docId w15:val="{421ADD44-3D8F-4CA9-926A-03746AAB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0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F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F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0F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F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F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F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F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F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F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F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0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0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0F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F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0F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F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FFD"/>
    <w:rPr>
      <w:b/>
      <w:bCs/>
      <w:smallCaps/>
      <w:color w:val="0F4761" w:themeColor="accent1" w:themeShade="BF"/>
      <w:spacing w:val="5"/>
    </w:rPr>
  </w:style>
  <w:style w:type="paragraph" w:customStyle="1" w:styleId="WW-BodyText2">
    <w:name w:val="WW-Body Text 2"/>
    <w:basedOn w:val="Normal"/>
    <w:rsid w:val="00C00E60"/>
    <w:pPr>
      <w:suppressAutoHyphens/>
      <w:spacing w:after="0" w:line="240" w:lineRule="auto"/>
    </w:pPr>
    <w:rPr>
      <w:rFonts w:ascii="New York" w:eastAsia="Times New Roman" w:hAnsi="New York" w:cs="New York"/>
      <w:i/>
      <w:kern w:val="0"/>
      <w:szCs w:val="20"/>
      <w:lang w:eastAsia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8420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20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4A38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4A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A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A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A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A3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428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irs.g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968E8-20F3-4190-A746-3FD549F41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Rybarczyk</dc:creator>
  <cp:keywords/>
  <dc:description/>
  <cp:lastModifiedBy>Wiederanders,Ellen</cp:lastModifiedBy>
  <cp:revision>2</cp:revision>
  <dcterms:created xsi:type="dcterms:W3CDTF">2026-01-05T19:10:00Z</dcterms:created>
  <dcterms:modified xsi:type="dcterms:W3CDTF">2026-01-05T19:10:00Z</dcterms:modified>
</cp:coreProperties>
</file>