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6438" w14:textId="361695FF" w:rsidR="004A7BD4" w:rsidRPr="004A7BD4" w:rsidRDefault="004A7BD4" w:rsidP="004A7BD4">
      <w:pPr>
        <w:spacing w:after="0" w:line="360" w:lineRule="auto"/>
        <w:jc w:val="center"/>
        <w:rPr>
          <w:rFonts w:ascii="Arial" w:hAnsi="Arial" w:cs="Arial"/>
          <w:u w:val="single"/>
        </w:rPr>
      </w:pPr>
      <w:r w:rsidRPr="004A7BD4">
        <w:rPr>
          <w:rFonts w:ascii="Arial" w:hAnsi="Arial" w:cs="Arial"/>
          <w:u w:val="single"/>
        </w:rPr>
        <w:t>Financial Focus®</w:t>
      </w:r>
    </w:p>
    <w:p w14:paraId="46E15BB2" w14:textId="3D9FBDFD" w:rsidR="004A7BD4" w:rsidRPr="004A7BD4" w:rsidRDefault="006000A9" w:rsidP="004A7BD4">
      <w:pPr>
        <w:spacing w:after="0" w:line="36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What </w:t>
      </w:r>
      <w:r w:rsidR="00234C01">
        <w:rPr>
          <w:rFonts w:ascii="Arial" w:hAnsi="Arial" w:cs="Arial"/>
          <w:u w:val="single"/>
        </w:rPr>
        <w:t>the New Federal Tax Provisions</w:t>
      </w:r>
      <w:r>
        <w:rPr>
          <w:rFonts w:ascii="Arial" w:hAnsi="Arial" w:cs="Arial"/>
          <w:u w:val="single"/>
        </w:rPr>
        <w:t xml:space="preserve"> Mean for You</w:t>
      </w:r>
    </w:p>
    <w:p w14:paraId="17BFF10A" w14:textId="713FD413" w:rsidR="004A7BD4" w:rsidRPr="000004FF" w:rsidRDefault="000004FF" w:rsidP="000004FF">
      <w:pPr>
        <w:spacing w:after="0" w:line="360" w:lineRule="auto"/>
        <w:jc w:val="center"/>
        <w:rPr>
          <w:rFonts w:ascii="Arial" w:hAnsi="Arial" w:cs="Arial"/>
        </w:rPr>
      </w:pPr>
      <w:r w:rsidRPr="000004FF">
        <w:rPr>
          <w:rFonts w:ascii="Arial" w:hAnsi="Arial" w:cs="Arial"/>
        </w:rPr>
        <w:t>LONG VERSION</w:t>
      </w:r>
    </w:p>
    <w:p w14:paraId="0B16C475" w14:textId="77777777" w:rsidR="000004FF" w:rsidRDefault="000004FF" w:rsidP="004A7BD4">
      <w:pPr>
        <w:spacing w:after="0" w:line="360" w:lineRule="auto"/>
        <w:rPr>
          <w:rFonts w:ascii="Arial" w:hAnsi="Arial" w:cs="Arial"/>
          <w:b/>
          <w:bCs/>
        </w:rPr>
      </w:pPr>
    </w:p>
    <w:p w14:paraId="0F3D8A3F" w14:textId="5A0E00DD" w:rsidR="00F27046" w:rsidRPr="004A7BD4" w:rsidRDefault="0000320D" w:rsidP="004A7BD4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Now that the “</w:t>
      </w:r>
      <w:r w:rsidR="00182935">
        <w:rPr>
          <w:rFonts w:ascii="Arial" w:hAnsi="Arial" w:cs="Arial"/>
        </w:rPr>
        <w:t xml:space="preserve">One </w:t>
      </w:r>
      <w:r>
        <w:rPr>
          <w:rFonts w:ascii="Arial" w:hAnsi="Arial" w:cs="Arial"/>
        </w:rPr>
        <w:t>Big Beautiful Bill</w:t>
      </w:r>
      <w:r w:rsidR="00182935">
        <w:rPr>
          <w:rFonts w:ascii="Arial" w:hAnsi="Arial" w:cs="Arial"/>
        </w:rPr>
        <w:t xml:space="preserve"> Act</w:t>
      </w:r>
      <w:r>
        <w:rPr>
          <w:rFonts w:ascii="Arial" w:hAnsi="Arial" w:cs="Arial"/>
        </w:rPr>
        <w:t xml:space="preserve">” has become federal law, there is a lot to unpack </w:t>
      </w:r>
      <w:r w:rsidR="00BC60CB">
        <w:rPr>
          <w:rFonts w:ascii="Arial" w:hAnsi="Arial" w:cs="Arial"/>
        </w:rPr>
        <w:t>for</w:t>
      </w:r>
      <w:r w:rsidR="00405379">
        <w:rPr>
          <w:rFonts w:ascii="Arial" w:hAnsi="Arial" w:cs="Arial"/>
        </w:rPr>
        <w:t xml:space="preserve"> </w:t>
      </w:r>
      <w:r w:rsidR="00977AD3">
        <w:rPr>
          <w:rFonts w:ascii="Arial" w:hAnsi="Arial" w:cs="Arial"/>
        </w:rPr>
        <w:t xml:space="preserve">American </w:t>
      </w:r>
      <w:r w:rsidR="00866F6A">
        <w:rPr>
          <w:rFonts w:ascii="Arial" w:hAnsi="Arial" w:cs="Arial"/>
        </w:rPr>
        <w:t xml:space="preserve">taxpayers and </w:t>
      </w:r>
      <w:r w:rsidR="00977AD3">
        <w:rPr>
          <w:rFonts w:ascii="Arial" w:hAnsi="Arial" w:cs="Arial"/>
        </w:rPr>
        <w:t>investor</w:t>
      </w:r>
      <w:r w:rsidR="005668A8">
        <w:rPr>
          <w:rFonts w:ascii="Arial" w:hAnsi="Arial" w:cs="Arial"/>
        </w:rPr>
        <w:t>s</w:t>
      </w:r>
      <w:r w:rsidR="00D335AA">
        <w:rPr>
          <w:rFonts w:ascii="Arial" w:hAnsi="Arial" w:cs="Arial"/>
        </w:rPr>
        <w:t>.</w:t>
      </w:r>
      <w:r w:rsidR="004B62A8">
        <w:rPr>
          <w:rFonts w:ascii="Arial" w:hAnsi="Arial" w:cs="Arial"/>
        </w:rPr>
        <w:t xml:space="preserve"> </w:t>
      </w:r>
      <w:r w:rsidR="003F0D6A">
        <w:rPr>
          <w:rFonts w:ascii="Arial" w:hAnsi="Arial" w:cs="Arial"/>
        </w:rPr>
        <w:t>Here</w:t>
      </w:r>
      <w:r w:rsidR="00D33704">
        <w:rPr>
          <w:rFonts w:ascii="Arial" w:hAnsi="Arial" w:cs="Arial"/>
        </w:rPr>
        <w:t>, we</w:t>
      </w:r>
      <w:r w:rsidR="003F0D6A">
        <w:rPr>
          <w:rFonts w:ascii="Arial" w:hAnsi="Arial" w:cs="Arial"/>
        </w:rPr>
        <w:t>'ll</w:t>
      </w:r>
      <w:r w:rsidR="00D33704">
        <w:rPr>
          <w:rFonts w:ascii="Arial" w:hAnsi="Arial" w:cs="Arial"/>
        </w:rPr>
        <w:t xml:space="preserve"> focus on the tax impacts.</w:t>
      </w:r>
    </w:p>
    <w:p w14:paraId="46ED416B" w14:textId="5E0A82DB" w:rsidR="00F27046" w:rsidRDefault="00B06C99" w:rsidP="004A7BD4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For starters, the law </w:t>
      </w:r>
      <w:r w:rsidR="001A4126">
        <w:rPr>
          <w:rFonts w:ascii="Arial" w:hAnsi="Arial" w:cs="Arial"/>
        </w:rPr>
        <w:t xml:space="preserve">permanently </w:t>
      </w:r>
      <w:r>
        <w:rPr>
          <w:rFonts w:ascii="Arial" w:hAnsi="Arial" w:cs="Arial"/>
        </w:rPr>
        <w:t xml:space="preserve">extends </w:t>
      </w:r>
      <w:r w:rsidR="00BC60CB">
        <w:rPr>
          <w:rFonts w:ascii="Arial" w:hAnsi="Arial" w:cs="Arial"/>
        </w:rPr>
        <w:t xml:space="preserve">certain </w:t>
      </w:r>
      <w:r>
        <w:rPr>
          <w:rFonts w:ascii="Arial" w:hAnsi="Arial" w:cs="Arial"/>
        </w:rPr>
        <w:t xml:space="preserve">major tax provisions </w:t>
      </w:r>
      <w:r w:rsidR="003708C8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the 2017 Tax </w:t>
      </w:r>
      <w:r w:rsidR="006358F8">
        <w:rPr>
          <w:rFonts w:ascii="Arial" w:hAnsi="Arial" w:cs="Arial"/>
        </w:rPr>
        <w:t xml:space="preserve">Cuts </w:t>
      </w:r>
      <w:r>
        <w:rPr>
          <w:rFonts w:ascii="Arial" w:hAnsi="Arial" w:cs="Arial"/>
        </w:rPr>
        <w:t>and Jobs Act</w:t>
      </w:r>
      <w:r w:rsidR="006358F8">
        <w:rPr>
          <w:rFonts w:ascii="Arial" w:hAnsi="Arial" w:cs="Arial"/>
        </w:rPr>
        <w:t xml:space="preserve"> (TCJA)</w:t>
      </w:r>
      <w:r w:rsidR="003708C8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were set to expire at the end of this year</w:t>
      </w:r>
      <w:r w:rsidR="00BC60CB">
        <w:rPr>
          <w:rFonts w:ascii="Arial" w:hAnsi="Arial" w:cs="Arial"/>
        </w:rPr>
        <w:t>, such as</w:t>
      </w:r>
      <w:r w:rsidR="005F249D">
        <w:rPr>
          <w:rFonts w:ascii="Arial" w:hAnsi="Arial" w:cs="Arial"/>
        </w:rPr>
        <w:t xml:space="preserve"> </w:t>
      </w:r>
      <w:r w:rsidR="003708C8">
        <w:rPr>
          <w:rFonts w:ascii="Arial" w:hAnsi="Arial" w:cs="Arial"/>
        </w:rPr>
        <w:t xml:space="preserve">permanently extending </w:t>
      </w:r>
      <w:r w:rsidR="005F249D">
        <w:rPr>
          <w:rFonts w:ascii="Arial" w:hAnsi="Arial" w:cs="Arial"/>
        </w:rPr>
        <w:t>lower income tax rates</w:t>
      </w:r>
      <w:r w:rsidR="003708C8">
        <w:rPr>
          <w:rFonts w:ascii="Arial" w:hAnsi="Arial" w:cs="Arial"/>
        </w:rPr>
        <w:t xml:space="preserve"> for individuals</w:t>
      </w:r>
      <w:r w:rsidR="00BC60CB">
        <w:rPr>
          <w:rFonts w:ascii="Arial" w:hAnsi="Arial" w:cs="Arial"/>
        </w:rPr>
        <w:t>, the higher standard deduction,</w:t>
      </w:r>
      <w:r w:rsidR="00D33704" w:rsidDel="00D33704">
        <w:rPr>
          <w:rFonts w:ascii="Arial" w:hAnsi="Arial" w:cs="Arial"/>
        </w:rPr>
        <w:t xml:space="preserve"> </w:t>
      </w:r>
      <w:r w:rsidR="00CC3222">
        <w:rPr>
          <w:rFonts w:ascii="Arial" w:hAnsi="Arial" w:cs="Arial"/>
        </w:rPr>
        <w:t>the expanded child tax credit</w:t>
      </w:r>
      <w:r w:rsidR="00866F6A">
        <w:rPr>
          <w:rFonts w:ascii="Arial" w:hAnsi="Arial" w:cs="Arial"/>
        </w:rPr>
        <w:t>, the higher alternative minimum tax (AMT) exemption and phase-in thresholds,</w:t>
      </w:r>
      <w:r w:rsidR="00CB2DA2">
        <w:rPr>
          <w:rFonts w:ascii="Arial" w:hAnsi="Arial" w:cs="Arial"/>
        </w:rPr>
        <w:t xml:space="preserve"> </w:t>
      </w:r>
      <w:r w:rsidR="008D388F">
        <w:rPr>
          <w:rFonts w:ascii="Arial" w:hAnsi="Arial" w:cs="Arial"/>
        </w:rPr>
        <w:t>and</w:t>
      </w:r>
      <w:r w:rsidR="00891380">
        <w:rPr>
          <w:rFonts w:ascii="Arial" w:hAnsi="Arial" w:cs="Arial"/>
        </w:rPr>
        <w:t xml:space="preserve"> the higher </w:t>
      </w:r>
      <w:r w:rsidR="00891380" w:rsidRPr="00AC37AA">
        <w:rPr>
          <w:rFonts w:ascii="Arial" w:hAnsi="Arial" w:cs="Arial"/>
        </w:rPr>
        <w:t>federal estate, gift and generation-skipping transfer tax exemption</w:t>
      </w:r>
      <w:r w:rsidR="00891380">
        <w:rPr>
          <w:rFonts w:ascii="Arial" w:hAnsi="Arial" w:cs="Arial"/>
        </w:rPr>
        <w:t xml:space="preserve"> (</w:t>
      </w:r>
      <w:r w:rsidR="00891380" w:rsidRPr="00AC37AA">
        <w:rPr>
          <w:rFonts w:ascii="Arial" w:hAnsi="Arial" w:cs="Arial"/>
        </w:rPr>
        <w:t>$15 million per individual and $30 million for married couples</w:t>
      </w:r>
      <w:r w:rsidR="00891380">
        <w:rPr>
          <w:rFonts w:ascii="Arial" w:hAnsi="Arial" w:cs="Arial"/>
        </w:rPr>
        <w:t xml:space="preserve"> in 2026)</w:t>
      </w:r>
      <w:r w:rsidR="00946D1A">
        <w:rPr>
          <w:rFonts w:ascii="Arial" w:hAnsi="Arial" w:cs="Arial"/>
        </w:rPr>
        <w:t>.</w:t>
      </w:r>
    </w:p>
    <w:p w14:paraId="59BEF125" w14:textId="2AE59C14" w:rsidR="007B051F" w:rsidRDefault="007D1D30" w:rsidP="001D5AD8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But as the name of the law says, the act is </w:t>
      </w:r>
      <w:r w:rsidR="00AE470F">
        <w:rPr>
          <w:rFonts w:ascii="Arial" w:hAnsi="Arial" w:cs="Arial"/>
        </w:rPr>
        <w:t>“</w:t>
      </w:r>
      <w:r>
        <w:rPr>
          <w:rFonts w:ascii="Arial" w:hAnsi="Arial" w:cs="Arial"/>
        </w:rPr>
        <w:t>big,</w:t>
      </w:r>
      <w:r w:rsidR="00AE470F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and there are </w:t>
      </w:r>
      <w:proofErr w:type="gramStart"/>
      <w:r>
        <w:rPr>
          <w:rFonts w:ascii="Arial" w:hAnsi="Arial" w:cs="Arial"/>
        </w:rPr>
        <w:t>a number of</w:t>
      </w:r>
      <w:proofErr w:type="gramEnd"/>
      <w:r>
        <w:rPr>
          <w:rFonts w:ascii="Arial" w:hAnsi="Arial" w:cs="Arial"/>
        </w:rPr>
        <w:t xml:space="preserve"> </w:t>
      </w:r>
      <w:r w:rsidR="00BB0447">
        <w:rPr>
          <w:rFonts w:ascii="Arial" w:hAnsi="Arial" w:cs="Arial"/>
        </w:rPr>
        <w:t xml:space="preserve">other </w:t>
      </w:r>
      <w:r w:rsidR="00BC60CB">
        <w:rPr>
          <w:rFonts w:ascii="Arial" w:hAnsi="Arial" w:cs="Arial"/>
        </w:rPr>
        <w:t xml:space="preserve">changes </w:t>
      </w:r>
      <w:r>
        <w:rPr>
          <w:rFonts w:ascii="Arial" w:hAnsi="Arial" w:cs="Arial"/>
        </w:rPr>
        <w:t xml:space="preserve">that </w:t>
      </w:r>
      <w:r w:rsidR="00A14D85">
        <w:rPr>
          <w:rFonts w:ascii="Arial" w:hAnsi="Arial" w:cs="Arial"/>
        </w:rPr>
        <w:t>could</w:t>
      </w:r>
      <w:r w:rsidR="00BC60CB">
        <w:rPr>
          <w:rFonts w:ascii="Arial" w:hAnsi="Arial" w:cs="Arial"/>
        </w:rPr>
        <w:t xml:space="preserve"> </w:t>
      </w:r>
      <w:r w:rsidR="00D33704">
        <w:rPr>
          <w:rFonts w:ascii="Arial" w:hAnsi="Arial" w:cs="Arial"/>
        </w:rPr>
        <w:t xml:space="preserve">impact </w:t>
      </w:r>
      <w:r w:rsidR="00B04074">
        <w:rPr>
          <w:rFonts w:ascii="Arial" w:hAnsi="Arial" w:cs="Arial"/>
        </w:rPr>
        <w:t>American</w:t>
      </w:r>
      <w:r w:rsidR="007B3E35">
        <w:rPr>
          <w:rFonts w:ascii="Arial" w:hAnsi="Arial" w:cs="Arial"/>
        </w:rPr>
        <w:t xml:space="preserve"> </w:t>
      </w:r>
      <w:r w:rsidR="00866F6A">
        <w:rPr>
          <w:rFonts w:ascii="Arial" w:hAnsi="Arial" w:cs="Arial"/>
        </w:rPr>
        <w:t>taxpayers</w:t>
      </w:r>
      <w:r w:rsidR="00B04074">
        <w:rPr>
          <w:rFonts w:ascii="Arial" w:hAnsi="Arial" w:cs="Arial"/>
        </w:rPr>
        <w:t xml:space="preserve">. </w:t>
      </w:r>
      <w:r w:rsidR="007B051F">
        <w:rPr>
          <w:rFonts w:ascii="Arial" w:hAnsi="Arial" w:cs="Arial"/>
        </w:rPr>
        <w:t>Here’s a closer look:</w:t>
      </w:r>
    </w:p>
    <w:p w14:paraId="75078005" w14:textId="774CE535" w:rsidR="00FE537D" w:rsidRDefault="00642E6E" w:rsidP="001D5AD8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Individuals</w:t>
      </w:r>
      <w:r w:rsidR="007B051F" w:rsidRPr="00A31662">
        <w:rPr>
          <w:rFonts w:ascii="Arial" w:hAnsi="Arial" w:cs="Arial"/>
          <w:b/>
          <w:bCs/>
        </w:rPr>
        <w:t xml:space="preserve">: </w:t>
      </w:r>
      <w:r w:rsidR="00FF3F8A">
        <w:rPr>
          <w:rFonts w:ascii="Arial" w:hAnsi="Arial" w:cs="Arial"/>
        </w:rPr>
        <w:t>The new law delivers</w:t>
      </w:r>
      <w:r w:rsidR="009A5804">
        <w:rPr>
          <w:rFonts w:ascii="Arial" w:hAnsi="Arial" w:cs="Arial"/>
        </w:rPr>
        <w:t xml:space="preserve"> </w:t>
      </w:r>
      <w:r w:rsidR="00920ABA">
        <w:rPr>
          <w:rFonts w:ascii="Arial" w:hAnsi="Arial" w:cs="Arial"/>
        </w:rPr>
        <w:t xml:space="preserve">several changes that can help individuals </w:t>
      </w:r>
      <w:r w:rsidR="00384F0C">
        <w:rPr>
          <w:rFonts w:ascii="Arial" w:hAnsi="Arial" w:cs="Arial"/>
        </w:rPr>
        <w:t xml:space="preserve">further </w:t>
      </w:r>
      <w:r w:rsidR="00920ABA">
        <w:rPr>
          <w:rFonts w:ascii="Arial" w:hAnsi="Arial" w:cs="Arial"/>
        </w:rPr>
        <w:t xml:space="preserve">reduce their taxes, including </w:t>
      </w:r>
      <w:r w:rsidR="00BA5C36" w:rsidRPr="00BA5C36">
        <w:rPr>
          <w:rFonts w:ascii="Arial" w:hAnsi="Arial" w:cs="Arial"/>
        </w:rPr>
        <w:t xml:space="preserve">the </w:t>
      </w:r>
      <w:r w:rsidR="00BD1AE2">
        <w:rPr>
          <w:rFonts w:ascii="Arial" w:hAnsi="Arial" w:cs="Arial"/>
        </w:rPr>
        <w:t xml:space="preserve">temporary </w:t>
      </w:r>
      <w:r w:rsidR="00BA5C36" w:rsidRPr="00BA5C36">
        <w:rPr>
          <w:rFonts w:ascii="Arial" w:hAnsi="Arial" w:cs="Arial"/>
        </w:rPr>
        <w:t>ability for taxpayers below certain income thresholds to deduct</w:t>
      </w:r>
      <w:r w:rsidR="00BA5C36">
        <w:rPr>
          <w:rFonts w:ascii="Arial" w:hAnsi="Arial" w:cs="Arial"/>
        </w:rPr>
        <w:t xml:space="preserve"> </w:t>
      </w:r>
      <w:r w:rsidR="00CC1DE6">
        <w:rPr>
          <w:rFonts w:ascii="Arial" w:hAnsi="Arial" w:cs="Arial"/>
        </w:rPr>
        <w:t xml:space="preserve">portions of </w:t>
      </w:r>
      <w:r w:rsidR="00757610">
        <w:rPr>
          <w:rFonts w:ascii="Arial" w:hAnsi="Arial" w:cs="Arial"/>
        </w:rPr>
        <w:t xml:space="preserve">income for individuals age 65 or older, </w:t>
      </w:r>
      <w:r w:rsidR="00CC1DE6">
        <w:rPr>
          <w:rFonts w:ascii="Arial" w:hAnsi="Arial" w:cs="Arial"/>
        </w:rPr>
        <w:t xml:space="preserve">overtime pay, qualified tips and interest on </w:t>
      </w:r>
      <w:r w:rsidR="006B6285">
        <w:rPr>
          <w:rFonts w:ascii="Arial" w:hAnsi="Arial" w:cs="Arial"/>
        </w:rPr>
        <w:t>qualified passenger-</w:t>
      </w:r>
      <w:r w:rsidR="00CC1DE6">
        <w:rPr>
          <w:rFonts w:ascii="Arial" w:hAnsi="Arial" w:cs="Arial"/>
        </w:rPr>
        <w:t>vehicle loans</w:t>
      </w:r>
      <w:r w:rsidR="00A83533">
        <w:rPr>
          <w:rFonts w:ascii="Arial" w:hAnsi="Arial" w:cs="Arial"/>
        </w:rPr>
        <w:t xml:space="preserve">; </w:t>
      </w:r>
      <w:bookmarkStart w:id="0" w:name="_Hlk203398700"/>
      <w:r w:rsidR="003C0FF2">
        <w:rPr>
          <w:rFonts w:ascii="Arial" w:hAnsi="Arial" w:cs="Arial"/>
        </w:rPr>
        <w:t xml:space="preserve">a </w:t>
      </w:r>
      <w:r w:rsidR="005E1F25">
        <w:rPr>
          <w:rFonts w:ascii="Arial" w:hAnsi="Arial" w:cs="Arial"/>
        </w:rPr>
        <w:t xml:space="preserve">slightly higher </w:t>
      </w:r>
      <w:r w:rsidR="003C0FF2">
        <w:rPr>
          <w:rFonts w:ascii="Arial" w:hAnsi="Arial" w:cs="Arial"/>
        </w:rPr>
        <w:t xml:space="preserve">charitable contribution deduction for </w:t>
      </w:r>
      <w:r w:rsidR="001231CF">
        <w:rPr>
          <w:rFonts w:ascii="Arial" w:hAnsi="Arial" w:cs="Arial"/>
        </w:rPr>
        <w:t>non-itemizers beginning in 2026</w:t>
      </w:r>
      <w:r w:rsidR="003C0FF2">
        <w:rPr>
          <w:rFonts w:ascii="Arial" w:hAnsi="Arial" w:cs="Arial"/>
        </w:rPr>
        <w:t xml:space="preserve"> (</w:t>
      </w:r>
      <w:r w:rsidR="005E1F25">
        <w:rPr>
          <w:rFonts w:ascii="Arial" w:hAnsi="Arial" w:cs="Arial"/>
        </w:rPr>
        <w:t xml:space="preserve">$1,000 for single </w:t>
      </w:r>
      <w:r w:rsidR="00E93FE9">
        <w:rPr>
          <w:rFonts w:ascii="Arial" w:hAnsi="Arial" w:cs="Arial"/>
        </w:rPr>
        <w:t>filers</w:t>
      </w:r>
      <w:r w:rsidR="005E1F25">
        <w:rPr>
          <w:rFonts w:ascii="Arial" w:hAnsi="Arial" w:cs="Arial"/>
        </w:rPr>
        <w:t xml:space="preserve"> and </w:t>
      </w:r>
      <w:r w:rsidR="003C0FF2">
        <w:rPr>
          <w:rFonts w:ascii="Arial" w:hAnsi="Arial" w:cs="Arial"/>
        </w:rPr>
        <w:t xml:space="preserve">$2,000 for </w:t>
      </w:r>
      <w:r w:rsidR="00E93FE9">
        <w:rPr>
          <w:rFonts w:ascii="Arial" w:hAnsi="Arial" w:cs="Arial"/>
        </w:rPr>
        <w:t xml:space="preserve">joint </w:t>
      </w:r>
      <w:r w:rsidR="00742889">
        <w:rPr>
          <w:rFonts w:ascii="Arial" w:hAnsi="Arial" w:cs="Arial"/>
        </w:rPr>
        <w:t>returns</w:t>
      </w:r>
      <w:r w:rsidR="003C0FF2">
        <w:rPr>
          <w:rFonts w:ascii="Arial" w:hAnsi="Arial" w:cs="Arial"/>
        </w:rPr>
        <w:t xml:space="preserve">); </w:t>
      </w:r>
      <w:r w:rsidR="00AE42E3">
        <w:rPr>
          <w:rFonts w:ascii="Arial" w:hAnsi="Arial" w:cs="Arial"/>
        </w:rPr>
        <w:t xml:space="preserve">and </w:t>
      </w:r>
      <w:r w:rsidR="00871D1E">
        <w:rPr>
          <w:rFonts w:ascii="Arial" w:hAnsi="Arial" w:cs="Arial"/>
        </w:rPr>
        <w:t>greater flexibility to use 529 accounts for K-12 and homeschooling expenses.</w:t>
      </w:r>
      <w:r w:rsidR="002C27FC">
        <w:rPr>
          <w:rFonts w:ascii="Arial" w:hAnsi="Arial" w:cs="Arial"/>
        </w:rPr>
        <w:t xml:space="preserve"> </w:t>
      </w:r>
    </w:p>
    <w:p w14:paraId="2187CCA4" w14:textId="6802EA19" w:rsidR="001D5AD8" w:rsidRDefault="00910DCD" w:rsidP="001D5AD8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1231CF">
        <w:rPr>
          <w:rFonts w:ascii="Arial" w:hAnsi="Arial" w:cs="Arial"/>
        </w:rPr>
        <w:t xml:space="preserve"> act </w:t>
      </w:r>
      <w:r>
        <w:rPr>
          <w:rFonts w:ascii="Arial" w:hAnsi="Arial" w:cs="Arial"/>
        </w:rPr>
        <w:t xml:space="preserve">also </w:t>
      </w:r>
      <w:r w:rsidR="00CB2DA2">
        <w:rPr>
          <w:rFonts w:ascii="Arial" w:hAnsi="Arial" w:cs="Arial"/>
        </w:rPr>
        <w:t>extend</w:t>
      </w:r>
      <w:r w:rsidR="000C7FF4">
        <w:rPr>
          <w:rFonts w:ascii="Arial" w:hAnsi="Arial" w:cs="Arial"/>
        </w:rPr>
        <w:t>s</w:t>
      </w:r>
      <w:r w:rsidR="00CB2DA2">
        <w:rPr>
          <w:rFonts w:ascii="Arial" w:hAnsi="Arial" w:cs="Arial"/>
        </w:rPr>
        <w:t xml:space="preserve"> certain TCJA provisions that limit or eliminate </w:t>
      </w:r>
      <w:r w:rsidR="000C7FF4">
        <w:rPr>
          <w:rFonts w:ascii="Arial" w:hAnsi="Arial" w:cs="Arial"/>
        </w:rPr>
        <w:t xml:space="preserve">some </w:t>
      </w:r>
      <w:r w:rsidR="00CB2DA2">
        <w:rPr>
          <w:rFonts w:ascii="Arial" w:hAnsi="Arial" w:cs="Arial"/>
        </w:rPr>
        <w:t xml:space="preserve">tax </w:t>
      </w:r>
      <w:r w:rsidR="00165971">
        <w:rPr>
          <w:rFonts w:ascii="Arial" w:hAnsi="Arial" w:cs="Arial"/>
        </w:rPr>
        <w:t>benefits</w:t>
      </w:r>
      <w:r w:rsidR="00CB2DA2">
        <w:rPr>
          <w:rFonts w:ascii="Arial" w:hAnsi="Arial" w:cs="Arial"/>
        </w:rPr>
        <w:t>, like the</w:t>
      </w:r>
      <w:r w:rsidR="00E55DA0">
        <w:rPr>
          <w:rFonts w:ascii="Arial" w:hAnsi="Arial" w:cs="Arial"/>
        </w:rPr>
        <w:t xml:space="preserve"> elimination of personal exemptions,</w:t>
      </w:r>
      <w:r w:rsidR="00CB2DA2">
        <w:rPr>
          <w:rFonts w:ascii="Arial" w:hAnsi="Arial" w:cs="Arial"/>
        </w:rPr>
        <w:t xml:space="preserve"> limits</w:t>
      </w:r>
      <w:r w:rsidR="00E55DA0">
        <w:rPr>
          <w:rFonts w:ascii="Arial" w:hAnsi="Arial" w:cs="Arial"/>
        </w:rPr>
        <w:t xml:space="preserve"> on</w:t>
      </w:r>
      <w:r w:rsidR="00CB2DA2">
        <w:rPr>
          <w:rFonts w:ascii="Arial" w:hAnsi="Arial" w:cs="Arial"/>
        </w:rPr>
        <w:t xml:space="preserve"> </w:t>
      </w:r>
      <w:r w:rsidR="00FA2D9E">
        <w:rPr>
          <w:rFonts w:ascii="Arial" w:hAnsi="Arial" w:cs="Arial"/>
        </w:rPr>
        <w:t xml:space="preserve">the </w:t>
      </w:r>
      <w:r w:rsidR="00F15D56">
        <w:rPr>
          <w:rFonts w:ascii="Arial" w:hAnsi="Arial" w:cs="Arial"/>
        </w:rPr>
        <w:t xml:space="preserve">state and local tax deduction (albeit with a higher cap, which is subject to phaseout, through 2029), limits </w:t>
      </w:r>
      <w:r w:rsidR="00CB2DA2">
        <w:rPr>
          <w:rFonts w:ascii="Arial" w:hAnsi="Arial" w:cs="Arial"/>
        </w:rPr>
        <w:t>on the</w:t>
      </w:r>
      <w:r w:rsidR="00FF7839">
        <w:rPr>
          <w:rFonts w:ascii="Arial" w:hAnsi="Arial" w:cs="Arial"/>
        </w:rPr>
        <w:t xml:space="preserve"> amount and type of loans eligible for the</w:t>
      </w:r>
      <w:r w:rsidR="00CB2DA2">
        <w:rPr>
          <w:rFonts w:ascii="Arial" w:hAnsi="Arial" w:cs="Arial"/>
        </w:rPr>
        <w:t xml:space="preserve"> mortgage interest deduction and </w:t>
      </w:r>
      <w:r w:rsidR="00FF7839">
        <w:rPr>
          <w:rFonts w:ascii="Arial" w:hAnsi="Arial" w:cs="Arial"/>
        </w:rPr>
        <w:t xml:space="preserve">the termination </w:t>
      </w:r>
      <w:r w:rsidR="00CB2DA2">
        <w:rPr>
          <w:rFonts w:ascii="Arial" w:hAnsi="Arial" w:cs="Arial"/>
        </w:rPr>
        <w:t>of miscellaneous itemized deduction</w:t>
      </w:r>
      <w:r w:rsidR="00FF7839">
        <w:rPr>
          <w:rFonts w:ascii="Arial" w:hAnsi="Arial" w:cs="Arial"/>
        </w:rPr>
        <w:t>s.</w:t>
      </w:r>
      <w:r w:rsidR="000D31BA">
        <w:rPr>
          <w:rFonts w:ascii="Arial" w:hAnsi="Arial" w:cs="Arial"/>
        </w:rPr>
        <w:t xml:space="preserve"> </w:t>
      </w:r>
      <w:r w:rsidR="00FF7839">
        <w:rPr>
          <w:rFonts w:ascii="Arial" w:hAnsi="Arial" w:cs="Arial"/>
        </w:rPr>
        <w:t xml:space="preserve">Additionally, there are new </w:t>
      </w:r>
      <w:r w:rsidR="001231CF">
        <w:rPr>
          <w:rFonts w:ascii="Arial" w:hAnsi="Arial" w:cs="Arial"/>
        </w:rPr>
        <w:t>changes that could increase taxes for some</w:t>
      </w:r>
      <w:r w:rsidR="00FF7839">
        <w:rPr>
          <w:rFonts w:ascii="Arial" w:hAnsi="Arial" w:cs="Arial"/>
        </w:rPr>
        <w:t xml:space="preserve"> individuals</w:t>
      </w:r>
      <w:r w:rsidR="001231CF">
        <w:rPr>
          <w:rFonts w:ascii="Arial" w:hAnsi="Arial" w:cs="Arial"/>
        </w:rPr>
        <w:t>, such as</w:t>
      </w:r>
      <w:r w:rsidR="000D31BA">
        <w:rPr>
          <w:rFonts w:ascii="Arial" w:hAnsi="Arial" w:cs="Arial"/>
        </w:rPr>
        <w:t xml:space="preserve"> a</w:t>
      </w:r>
      <w:r w:rsidR="001231CF">
        <w:rPr>
          <w:rFonts w:ascii="Arial" w:hAnsi="Arial" w:cs="Arial"/>
        </w:rPr>
        <w:t xml:space="preserve"> new 35% </w:t>
      </w:r>
      <w:r w:rsidR="00AA63E0">
        <w:rPr>
          <w:rFonts w:ascii="Arial" w:hAnsi="Arial" w:cs="Arial"/>
        </w:rPr>
        <w:t xml:space="preserve">rate </w:t>
      </w:r>
      <w:r w:rsidR="001231CF">
        <w:rPr>
          <w:rFonts w:ascii="Arial" w:hAnsi="Arial" w:cs="Arial"/>
        </w:rPr>
        <w:t>cap on itemized deduction</w:t>
      </w:r>
      <w:r w:rsidR="000D31BA">
        <w:rPr>
          <w:rFonts w:ascii="Arial" w:hAnsi="Arial" w:cs="Arial"/>
        </w:rPr>
        <w:t>s and a new floor for itemized deductions of charitable contributions, both beginning in 2026, as well as the elimination of several clean-energy credits.</w:t>
      </w:r>
      <w:r w:rsidR="002C27FC">
        <w:rPr>
          <w:rFonts w:ascii="Arial" w:hAnsi="Arial" w:cs="Arial"/>
        </w:rPr>
        <w:t xml:space="preserve"> </w:t>
      </w:r>
    </w:p>
    <w:bookmarkEnd w:id="0"/>
    <w:p w14:paraId="01C32B8D" w14:textId="391CADF1" w:rsidR="00F95687" w:rsidRDefault="00A31662" w:rsidP="00597CD6">
      <w:pPr>
        <w:spacing w:after="0" w:line="360" w:lineRule="auto"/>
        <w:ind w:firstLine="720"/>
        <w:rPr>
          <w:rFonts w:ascii="Arial" w:hAnsi="Arial" w:cs="Arial"/>
        </w:rPr>
      </w:pPr>
      <w:r w:rsidRPr="00A31662">
        <w:rPr>
          <w:rFonts w:ascii="Arial" w:hAnsi="Arial" w:cs="Arial"/>
          <w:b/>
          <w:bCs/>
        </w:rPr>
        <w:lastRenderedPageBreak/>
        <w:t>Businesses:</w:t>
      </w:r>
      <w:r w:rsidR="001E2893">
        <w:rPr>
          <w:rFonts w:ascii="Arial" w:hAnsi="Arial" w:cs="Arial"/>
          <w:b/>
          <w:bCs/>
        </w:rPr>
        <w:t xml:space="preserve"> </w:t>
      </w:r>
      <w:r w:rsidR="006F44FB">
        <w:rPr>
          <w:rFonts w:ascii="Arial" w:hAnsi="Arial" w:cs="Arial"/>
        </w:rPr>
        <w:t>The new law</w:t>
      </w:r>
      <w:r w:rsidR="004F103C">
        <w:rPr>
          <w:rFonts w:ascii="Arial" w:hAnsi="Arial" w:cs="Arial"/>
        </w:rPr>
        <w:t xml:space="preserve"> extends </w:t>
      </w:r>
      <w:r w:rsidR="00144254">
        <w:rPr>
          <w:rFonts w:ascii="Arial" w:hAnsi="Arial" w:cs="Arial"/>
        </w:rPr>
        <w:t xml:space="preserve">or enhances </w:t>
      </w:r>
      <w:r w:rsidR="004F103C">
        <w:rPr>
          <w:rFonts w:ascii="Arial" w:hAnsi="Arial" w:cs="Arial"/>
        </w:rPr>
        <w:t xml:space="preserve">several tax </w:t>
      </w:r>
      <w:r w:rsidR="00FF7839">
        <w:rPr>
          <w:rFonts w:ascii="Arial" w:hAnsi="Arial" w:cs="Arial"/>
        </w:rPr>
        <w:t xml:space="preserve">benefits </w:t>
      </w:r>
      <w:r w:rsidR="004F103C">
        <w:rPr>
          <w:rFonts w:ascii="Arial" w:hAnsi="Arial" w:cs="Arial"/>
        </w:rPr>
        <w:t>that could help</w:t>
      </w:r>
      <w:r w:rsidR="006F44FB">
        <w:rPr>
          <w:rFonts w:ascii="Arial" w:hAnsi="Arial" w:cs="Arial"/>
        </w:rPr>
        <w:t xml:space="preserve"> </w:t>
      </w:r>
      <w:r w:rsidR="009271C3">
        <w:rPr>
          <w:rFonts w:ascii="Arial" w:hAnsi="Arial" w:cs="Arial"/>
        </w:rPr>
        <w:t xml:space="preserve">firms up and down Main Street, as well as </w:t>
      </w:r>
      <w:r w:rsidR="00F32BE1">
        <w:rPr>
          <w:rFonts w:ascii="Arial" w:hAnsi="Arial" w:cs="Arial"/>
        </w:rPr>
        <w:t>America’s farmers</w:t>
      </w:r>
      <w:r w:rsidR="006358F8">
        <w:rPr>
          <w:rFonts w:ascii="Arial" w:hAnsi="Arial" w:cs="Arial"/>
        </w:rPr>
        <w:t>. For example, it p</w:t>
      </w:r>
      <w:r w:rsidR="00144254" w:rsidRPr="006358F8">
        <w:rPr>
          <w:rFonts w:ascii="Arial" w:hAnsi="Arial" w:cs="Arial"/>
        </w:rPr>
        <w:t>ermanently extend</w:t>
      </w:r>
      <w:r w:rsidR="006358F8">
        <w:rPr>
          <w:rFonts w:ascii="Arial" w:hAnsi="Arial" w:cs="Arial"/>
        </w:rPr>
        <w:t>s TCJA's</w:t>
      </w:r>
      <w:r w:rsidR="00144254" w:rsidRPr="006358F8">
        <w:rPr>
          <w:rFonts w:ascii="Arial" w:hAnsi="Arial" w:cs="Arial"/>
        </w:rPr>
        <w:t xml:space="preserve"> "qualified business income" deduction (often referred to as the "199A deduction") for individuals who own "pass-through" businesses (</w:t>
      </w:r>
      <w:r w:rsidR="0080176B">
        <w:rPr>
          <w:rFonts w:ascii="Arial" w:hAnsi="Arial" w:cs="Arial"/>
        </w:rPr>
        <w:t xml:space="preserve">businesses other than sole proprietorships for which </w:t>
      </w:r>
      <w:r w:rsidR="00144254" w:rsidRPr="006358F8">
        <w:rPr>
          <w:rFonts w:ascii="Arial" w:hAnsi="Arial" w:cs="Arial"/>
        </w:rPr>
        <w:t>owner</w:t>
      </w:r>
      <w:r w:rsidR="0080176B">
        <w:rPr>
          <w:rFonts w:ascii="Arial" w:hAnsi="Arial" w:cs="Arial"/>
        </w:rPr>
        <w:t>s</w:t>
      </w:r>
      <w:r w:rsidR="00144254" w:rsidRPr="006358F8">
        <w:rPr>
          <w:rFonts w:ascii="Arial" w:hAnsi="Arial" w:cs="Arial"/>
        </w:rPr>
        <w:t xml:space="preserve"> report business income on their individual tax returns)</w:t>
      </w:r>
      <w:r w:rsidR="00681175" w:rsidRPr="006358F8">
        <w:rPr>
          <w:rFonts w:ascii="Arial" w:hAnsi="Arial" w:cs="Arial"/>
        </w:rPr>
        <w:t xml:space="preserve"> </w:t>
      </w:r>
      <w:r w:rsidR="00094633">
        <w:rPr>
          <w:rFonts w:ascii="Arial" w:hAnsi="Arial" w:cs="Arial"/>
        </w:rPr>
        <w:t xml:space="preserve">and </w:t>
      </w:r>
      <w:r w:rsidR="00981768">
        <w:rPr>
          <w:rFonts w:ascii="Arial" w:hAnsi="Arial" w:cs="Arial"/>
        </w:rPr>
        <w:t>increases</w:t>
      </w:r>
      <w:r w:rsidR="00681175" w:rsidRPr="006358F8">
        <w:rPr>
          <w:rFonts w:ascii="Arial" w:hAnsi="Arial" w:cs="Arial"/>
        </w:rPr>
        <w:t xml:space="preserve"> phase-in thresholds</w:t>
      </w:r>
      <w:r w:rsidR="00981768">
        <w:rPr>
          <w:rFonts w:ascii="Arial" w:hAnsi="Arial" w:cs="Arial"/>
        </w:rPr>
        <w:t xml:space="preserve"> for the deduction</w:t>
      </w:r>
      <w:r w:rsidR="00681175" w:rsidRPr="006358F8">
        <w:rPr>
          <w:rFonts w:ascii="Arial" w:hAnsi="Arial" w:cs="Arial"/>
        </w:rPr>
        <w:t xml:space="preserve">, which may allow more individuals to qualify. </w:t>
      </w:r>
    </w:p>
    <w:p w14:paraId="0BEBBCCB" w14:textId="38B6C8EC" w:rsidR="00866F6A" w:rsidRDefault="00597CD6" w:rsidP="00597CD6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It also </w:t>
      </w:r>
      <w:r w:rsidR="001708F4">
        <w:rPr>
          <w:rFonts w:ascii="Arial" w:hAnsi="Arial" w:cs="Arial"/>
        </w:rPr>
        <w:t>permanently</w:t>
      </w:r>
      <w:r>
        <w:rPr>
          <w:rFonts w:ascii="Arial" w:hAnsi="Arial" w:cs="Arial"/>
        </w:rPr>
        <w:t xml:space="preserve"> reinstates the 100% bonus deprec</w:t>
      </w:r>
      <w:r w:rsidR="001708F4">
        <w:rPr>
          <w:rFonts w:ascii="Arial" w:hAnsi="Arial" w:cs="Arial"/>
        </w:rPr>
        <w:t>i</w:t>
      </w:r>
      <w:r>
        <w:rPr>
          <w:rFonts w:ascii="Arial" w:hAnsi="Arial" w:cs="Arial"/>
        </w:rPr>
        <w:t>ation deduction for qualifying assets</w:t>
      </w:r>
      <w:r w:rsidR="00BF4582">
        <w:rPr>
          <w:rFonts w:ascii="Arial" w:hAnsi="Arial" w:cs="Arial"/>
        </w:rPr>
        <w:t xml:space="preserve"> place</w:t>
      </w:r>
      <w:r w:rsidR="00E5433D">
        <w:rPr>
          <w:rFonts w:ascii="Arial" w:hAnsi="Arial" w:cs="Arial"/>
        </w:rPr>
        <w:t>d</w:t>
      </w:r>
      <w:r w:rsidR="00BF4582">
        <w:rPr>
          <w:rFonts w:ascii="Arial" w:hAnsi="Arial" w:cs="Arial"/>
        </w:rPr>
        <w:t xml:space="preserve"> into service after Jan. 19, 2025</w:t>
      </w:r>
      <w:r>
        <w:rPr>
          <w:rFonts w:ascii="Arial" w:hAnsi="Arial" w:cs="Arial"/>
        </w:rPr>
        <w:t xml:space="preserve">; </w:t>
      </w:r>
      <w:r w:rsidR="006358F8">
        <w:rPr>
          <w:rFonts w:ascii="Arial" w:hAnsi="Arial" w:cs="Arial"/>
        </w:rPr>
        <w:t xml:space="preserve">permanently reinstates the ability </w:t>
      </w:r>
      <w:r w:rsidR="001708F4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small </w:t>
      </w:r>
      <w:r w:rsidR="006358F8">
        <w:rPr>
          <w:rFonts w:ascii="Arial" w:hAnsi="Arial" w:cs="Arial"/>
        </w:rPr>
        <w:t>businesses to immediately deduct the full amount of qualified domestic research and development (R&amp;D) expenses in the year they're incurred</w:t>
      </w:r>
      <w:r>
        <w:rPr>
          <w:rFonts w:ascii="Arial" w:hAnsi="Arial" w:cs="Arial"/>
        </w:rPr>
        <w:t xml:space="preserve"> (which may be retroactively applied for q</w:t>
      </w:r>
      <w:r w:rsidR="006358F8">
        <w:rPr>
          <w:rFonts w:ascii="Arial" w:hAnsi="Arial" w:cs="Arial"/>
        </w:rPr>
        <w:t xml:space="preserve">ualifying </w:t>
      </w:r>
      <w:r>
        <w:rPr>
          <w:rFonts w:ascii="Arial" w:hAnsi="Arial" w:cs="Arial"/>
        </w:rPr>
        <w:t xml:space="preserve">small </w:t>
      </w:r>
      <w:r w:rsidR="006358F8">
        <w:rPr>
          <w:rFonts w:ascii="Arial" w:hAnsi="Arial" w:cs="Arial"/>
        </w:rPr>
        <w:t>businesse</w:t>
      </w:r>
      <w:r>
        <w:rPr>
          <w:rFonts w:ascii="Arial" w:hAnsi="Arial" w:cs="Arial"/>
        </w:rPr>
        <w:t>s)</w:t>
      </w:r>
      <w:r w:rsidR="00BF4582">
        <w:rPr>
          <w:rFonts w:ascii="Arial" w:hAnsi="Arial" w:cs="Arial"/>
        </w:rPr>
        <w:t xml:space="preserve">; and </w:t>
      </w:r>
      <w:r w:rsidR="00E93FE9">
        <w:rPr>
          <w:rFonts w:ascii="Arial" w:hAnsi="Arial" w:cs="Arial"/>
        </w:rPr>
        <w:t xml:space="preserve">for purposes of calculating business interest limitations, </w:t>
      </w:r>
      <w:r w:rsidR="00BF4582">
        <w:rPr>
          <w:rFonts w:ascii="Arial" w:hAnsi="Arial" w:cs="Arial"/>
        </w:rPr>
        <w:t xml:space="preserve">permanently reinstates the </w:t>
      </w:r>
      <w:r w:rsidR="00E93FE9">
        <w:rPr>
          <w:rFonts w:ascii="Arial" w:hAnsi="Arial" w:cs="Arial"/>
        </w:rPr>
        <w:t>ex</w:t>
      </w:r>
      <w:r w:rsidR="005A0EBD">
        <w:rPr>
          <w:rFonts w:ascii="Arial" w:hAnsi="Arial" w:cs="Arial"/>
        </w:rPr>
        <w:t>clusion of</w:t>
      </w:r>
      <w:r w:rsidR="00BF4582">
        <w:rPr>
          <w:rFonts w:ascii="Arial" w:hAnsi="Arial" w:cs="Arial"/>
        </w:rPr>
        <w:t xml:space="preserve"> depreciation and amortization expenses </w:t>
      </w:r>
      <w:r w:rsidR="00E93FE9">
        <w:rPr>
          <w:rFonts w:ascii="Arial" w:hAnsi="Arial" w:cs="Arial"/>
        </w:rPr>
        <w:t>in the limitation base</w:t>
      </w:r>
      <w:r w:rsidR="006358F8">
        <w:rPr>
          <w:rFonts w:ascii="Arial" w:hAnsi="Arial" w:cs="Arial"/>
        </w:rPr>
        <w:t>.</w:t>
      </w:r>
      <w:r w:rsidR="00CD6D56">
        <w:rPr>
          <w:rFonts w:ascii="Arial" w:hAnsi="Arial" w:cs="Arial"/>
        </w:rPr>
        <w:t xml:space="preserve"> </w:t>
      </w:r>
    </w:p>
    <w:p w14:paraId="59EF91E8" w14:textId="4E9A1918" w:rsidR="006358F8" w:rsidRPr="00597CD6" w:rsidRDefault="00866F6A" w:rsidP="00597CD6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Additionally, small business owners and farmers may benefit from an </w:t>
      </w:r>
      <w:r w:rsidRPr="00290728">
        <w:rPr>
          <w:rFonts w:ascii="Arial" w:hAnsi="Arial" w:cs="Arial"/>
        </w:rPr>
        <w:t>increas</w:t>
      </w:r>
      <w:r>
        <w:rPr>
          <w:rFonts w:ascii="Arial" w:hAnsi="Arial" w:cs="Arial"/>
        </w:rPr>
        <w:t>e to</w:t>
      </w:r>
      <w:r w:rsidRPr="00290728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allowable</w:t>
      </w:r>
      <w:r w:rsidRPr="00290728">
        <w:rPr>
          <w:rFonts w:ascii="Arial" w:hAnsi="Arial" w:cs="Arial"/>
        </w:rPr>
        <w:t xml:space="preserve"> expense for qualifying property from $1 million to $2.5 million</w:t>
      </w:r>
      <w:r w:rsidR="00F50011">
        <w:rPr>
          <w:rFonts w:ascii="Arial" w:hAnsi="Arial" w:cs="Arial"/>
        </w:rPr>
        <w:t>, potentially enabling them to expense more business equipment purchases</w:t>
      </w:r>
      <w:r>
        <w:rPr>
          <w:rFonts w:ascii="Arial" w:hAnsi="Arial" w:cs="Arial"/>
        </w:rPr>
        <w:t xml:space="preserve">. </w:t>
      </w:r>
      <w:r w:rsidR="00F50011">
        <w:rPr>
          <w:rFonts w:ascii="Arial" w:hAnsi="Arial" w:cs="Arial"/>
        </w:rPr>
        <w:t>And, f</w:t>
      </w:r>
      <w:r>
        <w:rPr>
          <w:rFonts w:ascii="Arial" w:hAnsi="Arial" w:cs="Arial"/>
        </w:rPr>
        <w:t>inally</w:t>
      </w:r>
      <w:r w:rsidR="00CD6D56">
        <w:rPr>
          <w:rFonts w:ascii="Arial" w:hAnsi="Arial" w:cs="Arial"/>
        </w:rPr>
        <w:t>, the act extends or enhances tax credits for employer-provided childcare and paid family and medical leave benefits.</w:t>
      </w:r>
    </w:p>
    <w:p w14:paraId="107B2555" w14:textId="02165C22" w:rsidR="00C72248" w:rsidRDefault="00631470" w:rsidP="00E645C2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Individuals and businesses can use additional tax savings to meet current expenses or toward a financial goal, like saving for retirement or moving forward with a business expansion. C</w:t>
      </w:r>
      <w:r w:rsidR="00EC0BB8">
        <w:rPr>
          <w:rFonts w:ascii="Arial" w:hAnsi="Arial" w:cs="Arial"/>
        </w:rPr>
        <w:t xml:space="preserve">onsider consulting financial, tax, and legal professionals to help assess </w:t>
      </w:r>
      <w:r w:rsidR="00E645C2">
        <w:rPr>
          <w:rFonts w:ascii="Arial" w:hAnsi="Arial" w:cs="Arial"/>
        </w:rPr>
        <w:t>specific situations</w:t>
      </w:r>
      <w:r w:rsidR="00EC0BB8">
        <w:rPr>
          <w:rFonts w:ascii="Arial" w:hAnsi="Arial" w:cs="Arial"/>
        </w:rPr>
        <w:t xml:space="preserve">. </w:t>
      </w:r>
    </w:p>
    <w:p w14:paraId="76B30978" w14:textId="77777777" w:rsidR="009C0A6E" w:rsidRPr="00D32B0A" w:rsidRDefault="009C0A6E" w:rsidP="004A7BD4">
      <w:pPr>
        <w:spacing w:after="0" w:line="360" w:lineRule="auto"/>
        <w:rPr>
          <w:rFonts w:ascii="Arial" w:hAnsi="Arial" w:cs="Arial"/>
        </w:rPr>
      </w:pPr>
    </w:p>
    <w:p w14:paraId="061EC66F" w14:textId="77777777" w:rsidR="005A0A97" w:rsidRDefault="005A0A97" w:rsidP="00B239CD">
      <w:pPr>
        <w:spacing w:after="0" w:line="360" w:lineRule="auto"/>
        <w:rPr>
          <w:rFonts w:ascii="Arial" w:hAnsi="Arial" w:cs="Arial"/>
          <w:i/>
          <w:iCs/>
        </w:rPr>
      </w:pPr>
      <w:r w:rsidRPr="005A0A97">
        <w:rPr>
          <w:rFonts w:ascii="Arial" w:hAnsi="Arial" w:cs="Arial"/>
          <w:i/>
          <w:iCs/>
        </w:rPr>
        <w:t>This article was written by Edward Jones for use by your local Edward Jones Financial Advisor.</w:t>
      </w:r>
    </w:p>
    <w:p w14:paraId="11558F4D" w14:textId="3AC8056C" w:rsidR="005A0A97" w:rsidRDefault="00AE337F" w:rsidP="00B239CD">
      <w:pPr>
        <w:spacing w:after="0" w:line="360" w:lineRule="auto"/>
        <w:rPr>
          <w:rFonts w:ascii="Arial" w:hAnsi="Arial" w:cs="Arial"/>
          <w:i/>
          <w:iCs/>
        </w:rPr>
      </w:pPr>
      <w:r w:rsidRPr="00AE337F">
        <w:rPr>
          <w:rFonts w:ascii="Cambria Math" w:hAnsi="Cambria Math" w:cs="Cambria Math"/>
          <w:i/>
          <w:iCs/>
        </w:rPr>
        <w:t>​​</w:t>
      </w:r>
      <w:r w:rsidRPr="00AE337F">
        <w:rPr>
          <w:rFonts w:ascii="Arial" w:hAnsi="Arial" w:cs="Arial"/>
          <w:i/>
          <w:iCs/>
        </w:rPr>
        <w:t>Edward Jones, its employees and financial advisors cannot provide tax or legal advice. You should consult your attorney or qualified tax advisor regarding your situation.</w:t>
      </w:r>
    </w:p>
    <w:p w14:paraId="7D4365BD" w14:textId="61D3ADA3" w:rsidR="00290728" w:rsidRPr="00E50D4A" w:rsidRDefault="00857E97" w:rsidP="004A7BD4">
      <w:pPr>
        <w:spacing w:after="0" w:line="360" w:lineRule="auto"/>
        <w:rPr>
          <w:rFonts w:ascii="Arial" w:hAnsi="Arial" w:cs="Arial"/>
          <w:i/>
          <w:iCs/>
        </w:rPr>
      </w:pPr>
      <w:r w:rsidRPr="00E50D4A">
        <w:rPr>
          <w:rFonts w:ascii="Arial" w:hAnsi="Arial" w:cs="Arial"/>
          <w:i/>
          <w:iCs/>
        </w:rPr>
        <w:t>Edward Jones, Member SIPC</w:t>
      </w:r>
    </w:p>
    <w:p w14:paraId="11EC2634" w14:textId="77777777" w:rsidR="00290728" w:rsidRDefault="00290728" w:rsidP="004A7BD4">
      <w:pPr>
        <w:spacing w:after="0" w:line="360" w:lineRule="auto"/>
        <w:rPr>
          <w:rFonts w:ascii="Arial" w:hAnsi="Arial" w:cs="Arial"/>
        </w:rPr>
      </w:pPr>
    </w:p>
    <w:p w14:paraId="16746710" w14:textId="6B14FEB2" w:rsidR="005A0A97" w:rsidRDefault="00CA021C" w:rsidP="004A7BD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Words: </w:t>
      </w:r>
      <w:r w:rsidR="00B647B3">
        <w:rPr>
          <w:rFonts w:ascii="Arial" w:hAnsi="Arial" w:cs="Arial"/>
        </w:rPr>
        <w:t>569</w:t>
      </w:r>
    </w:p>
    <w:sectPr w:rsidR="005A0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B7610" w14:textId="77777777" w:rsidR="004B28A0" w:rsidRDefault="004B28A0" w:rsidP="00384F0C">
      <w:pPr>
        <w:spacing w:after="0" w:line="240" w:lineRule="auto"/>
      </w:pPr>
      <w:r>
        <w:separator/>
      </w:r>
    </w:p>
  </w:endnote>
  <w:endnote w:type="continuationSeparator" w:id="0">
    <w:p w14:paraId="230D781A" w14:textId="77777777" w:rsidR="004B28A0" w:rsidRDefault="004B28A0" w:rsidP="0038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E84BA" w14:textId="77777777" w:rsidR="004B28A0" w:rsidRDefault="004B28A0" w:rsidP="00384F0C">
      <w:pPr>
        <w:spacing w:after="0" w:line="240" w:lineRule="auto"/>
      </w:pPr>
      <w:r>
        <w:separator/>
      </w:r>
    </w:p>
  </w:footnote>
  <w:footnote w:type="continuationSeparator" w:id="0">
    <w:p w14:paraId="0481DCFE" w14:textId="77777777" w:rsidR="004B28A0" w:rsidRDefault="004B28A0" w:rsidP="00384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AD7"/>
    <w:multiLevelType w:val="multilevel"/>
    <w:tmpl w:val="B0986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D5217"/>
    <w:multiLevelType w:val="hybridMultilevel"/>
    <w:tmpl w:val="0AAA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1794"/>
    <w:multiLevelType w:val="hybridMultilevel"/>
    <w:tmpl w:val="7BE6A21E"/>
    <w:lvl w:ilvl="0" w:tplc="C9CE7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109E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B89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6E07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F244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D98C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0CA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36B7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614F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2311111"/>
    <w:multiLevelType w:val="hybridMultilevel"/>
    <w:tmpl w:val="B7A0E46E"/>
    <w:lvl w:ilvl="0" w:tplc="FE5A65AA">
      <w:start w:val="1"/>
      <w:numFmt w:val="decimal"/>
      <w:lvlText w:val="%1)"/>
      <w:lvlJc w:val="left"/>
      <w:pPr>
        <w:ind w:left="1020" w:hanging="360"/>
      </w:pPr>
    </w:lvl>
    <w:lvl w:ilvl="1" w:tplc="A50C59D4">
      <w:start w:val="1"/>
      <w:numFmt w:val="decimal"/>
      <w:lvlText w:val="%2)"/>
      <w:lvlJc w:val="left"/>
      <w:pPr>
        <w:ind w:left="1020" w:hanging="360"/>
      </w:pPr>
    </w:lvl>
    <w:lvl w:ilvl="2" w:tplc="B59A43AE">
      <w:start w:val="1"/>
      <w:numFmt w:val="decimal"/>
      <w:lvlText w:val="%3)"/>
      <w:lvlJc w:val="left"/>
      <w:pPr>
        <w:ind w:left="1020" w:hanging="360"/>
      </w:pPr>
    </w:lvl>
    <w:lvl w:ilvl="3" w:tplc="E618B730">
      <w:start w:val="1"/>
      <w:numFmt w:val="decimal"/>
      <w:lvlText w:val="%4)"/>
      <w:lvlJc w:val="left"/>
      <w:pPr>
        <w:ind w:left="1020" w:hanging="360"/>
      </w:pPr>
    </w:lvl>
    <w:lvl w:ilvl="4" w:tplc="2E783000">
      <w:start w:val="1"/>
      <w:numFmt w:val="decimal"/>
      <w:lvlText w:val="%5)"/>
      <w:lvlJc w:val="left"/>
      <w:pPr>
        <w:ind w:left="1020" w:hanging="360"/>
      </w:pPr>
    </w:lvl>
    <w:lvl w:ilvl="5" w:tplc="CF5A69FE">
      <w:start w:val="1"/>
      <w:numFmt w:val="decimal"/>
      <w:lvlText w:val="%6)"/>
      <w:lvlJc w:val="left"/>
      <w:pPr>
        <w:ind w:left="1020" w:hanging="360"/>
      </w:pPr>
    </w:lvl>
    <w:lvl w:ilvl="6" w:tplc="9BFED4D8">
      <w:start w:val="1"/>
      <w:numFmt w:val="decimal"/>
      <w:lvlText w:val="%7)"/>
      <w:lvlJc w:val="left"/>
      <w:pPr>
        <w:ind w:left="1020" w:hanging="360"/>
      </w:pPr>
    </w:lvl>
    <w:lvl w:ilvl="7" w:tplc="FD881874">
      <w:start w:val="1"/>
      <w:numFmt w:val="decimal"/>
      <w:lvlText w:val="%8)"/>
      <w:lvlJc w:val="left"/>
      <w:pPr>
        <w:ind w:left="1020" w:hanging="360"/>
      </w:pPr>
    </w:lvl>
    <w:lvl w:ilvl="8" w:tplc="95D6DEEE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1FFE0AE1"/>
    <w:multiLevelType w:val="hybridMultilevel"/>
    <w:tmpl w:val="16727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D002CF"/>
    <w:multiLevelType w:val="hybridMultilevel"/>
    <w:tmpl w:val="F4560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E6085"/>
    <w:multiLevelType w:val="multilevel"/>
    <w:tmpl w:val="19C6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C87274"/>
    <w:multiLevelType w:val="hybridMultilevel"/>
    <w:tmpl w:val="16E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36101"/>
    <w:multiLevelType w:val="hybridMultilevel"/>
    <w:tmpl w:val="52D40D10"/>
    <w:lvl w:ilvl="0" w:tplc="A0B27C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4232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4A0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022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E2C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B0A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24414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927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A2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9ED73DC"/>
    <w:multiLevelType w:val="multilevel"/>
    <w:tmpl w:val="15F2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4493202">
    <w:abstractNumId w:val="0"/>
  </w:num>
  <w:num w:numId="2" w16cid:durableId="581643754">
    <w:abstractNumId w:val="7"/>
  </w:num>
  <w:num w:numId="3" w16cid:durableId="489367613">
    <w:abstractNumId w:val="9"/>
  </w:num>
  <w:num w:numId="4" w16cid:durableId="1836608915">
    <w:abstractNumId w:val="6"/>
  </w:num>
  <w:num w:numId="5" w16cid:durableId="519664158">
    <w:abstractNumId w:val="7"/>
  </w:num>
  <w:num w:numId="6" w16cid:durableId="1109201357">
    <w:abstractNumId w:val="4"/>
  </w:num>
  <w:num w:numId="7" w16cid:durableId="1276519536">
    <w:abstractNumId w:val="1"/>
  </w:num>
  <w:num w:numId="8" w16cid:durableId="1556965540">
    <w:abstractNumId w:val="5"/>
  </w:num>
  <w:num w:numId="9" w16cid:durableId="1959020582">
    <w:abstractNumId w:val="3"/>
  </w:num>
  <w:num w:numId="10" w16cid:durableId="766194775">
    <w:abstractNumId w:val="2"/>
  </w:num>
  <w:num w:numId="11" w16cid:durableId="1043481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46"/>
    <w:rsid w:val="000004FF"/>
    <w:rsid w:val="0000320D"/>
    <w:rsid w:val="00003713"/>
    <w:rsid w:val="0000473E"/>
    <w:rsid w:val="00015469"/>
    <w:rsid w:val="000266A4"/>
    <w:rsid w:val="0004585F"/>
    <w:rsid w:val="00046547"/>
    <w:rsid w:val="00050CAF"/>
    <w:rsid w:val="00053787"/>
    <w:rsid w:val="0006202B"/>
    <w:rsid w:val="000703D8"/>
    <w:rsid w:val="000778D1"/>
    <w:rsid w:val="000917AE"/>
    <w:rsid w:val="000935D5"/>
    <w:rsid w:val="00094633"/>
    <w:rsid w:val="000A098C"/>
    <w:rsid w:val="000C202F"/>
    <w:rsid w:val="000C7FF4"/>
    <w:rsid w:val="000D0428"/>
    <w:rsid w:val="000D31BA"/>
    <w:rsid w:val="000F1114"/>
    <w:rsid w:val="00101826"/>
    <w:rsid w:val="00110ABA"/>
    <w:rsid w:val="00111E6A"/>
    <w:rsid w:val="001231CF"/>
    <w:rsid w:val="00137789"/>
    <w:rsid w:val="00142C42"/>
    <w:rsid w:val="00144254"/>
    <w:rsid w:val="00147ABF"/>
    <w:rsid w:val="001528C3"/>
    <w:rsid w:val="00165971"/>
    <w:rsid w:val="001708F4"/>
    <w:rsid w:val="00175F06"/>
    <w:rsid w:val="00177068"/>
    <w:rsid w:val="0018084B"/>
    <w:rsid w:val="00182935"/>
    <w:rsid w:val="001A4126"/>
    <w:rsid w:val="001C35D1"/>
    <w:rsid w:val="001D5AD8"/>
    <w:rsid w:val="001E2893"/>
    <w:rsid w:val="001E3591"/>
    <w:rsid w:val="001F5448"/>
    <w:rsid w:val="002060CC"/>
    <w:rsid w:val="00222779"/>
    <w:rsid w:val="00227B41"/>
    <w:rsid w:val="00234C01"/>
    <w:rsid w:val="00280C58"/>
    <w:rsid w:val="00282350"/>
    <w:rsid w:val="00290048"/>
    <w:rsid w:val="00290728"/>
    <w:rsid w:val="0029427B"/>
    <w:rsid w:val="002A17AD"/>
    <w:rsid w:val="002A64D4"/>
    <w:rsid w:val="002B05FE"/>
    <w:rsid w:val="002B32EB"/>
    <w:rsid w:val="002B64FE"/>
    <w:rsid w:val="002C27FC"/>
    <w:rsid w:val="002D775C"/>
    <w:rsid w:val="00305413"/>
    <w:rsid w:val="00313881"/>
    <w:rsid w:val="00332540"/>
    <w:rsid w:val="00340CC9"/>
    <w:rsid w:val="0034405E"/>
    <w:rsid w:val="00347188"/>
    <w:rsid w:val="003708C8"/>
    <w:rsid w:val="00384F0C"/>
    <w:rsid w:val="003937A8"/>
    <w:rsid w:val="00397B67"/>
    <w:rsid w:val="003A79FC"/>
    <w:rsid w:val="003C0FF2"/>
    <w:rsid w:val="003C1B22"/>
    <w:rsid w:val="003D3BF4"/>
    <w:rsid w:val="003E08B5"/>
    <w:rsid w:val="003E1AE9"/>
    <w:rsid w:val="003F0D6A"/>
    <w:rsid w:val="00405379"/>
    <w:rsid w:val="00411DE7"/>
    <w:rsid w:val="00414842"/>
    <w:rsid w:val="0041504B"/>
    <w:rsid w:val="00417692"/>
    <w:rsid w:val="00430DD3"/>
    <w:rsid w:val="0043125A"/>
    <w:rsid w:val="004757E3"/>
    <w:rsid w:val="00475B24"/>
    <w:rsid w:val="00475ECE"/>
    <w:rsid w:val="00494C45"/>
    <w:rsid w:val="004A7BD4"/>
    <w:rsid w:val="004B28A0"/>
    <w:rsid w:val="004B62A8"/>
    <w:rsid w:val="004D37F6"/>
    <w:rsid w:val="004F103C"/>
    <w:rsid w:val="004F2286"/>
    <w:rsid w:val="004F57AB"/>
    <w:rsid w:val="004F7AAC"/>
    <w:rsid w:val="0053205D"/>
    <w:rsid w:val="00564CC0"/>
    <w:rsid w:val="005668A8"/>
    <w:rsid w:val="00590085"/>
    <w:rsid w:val="005920C4"/>
    <w:rsid w:val="00597CD6"/>
    <w:rsid w:val="005A0980"/>
    <w:rsid w:val="005A0A97"/>
    <w:rsid w:val="005A0EBD"/>
    <w:rsid w:val="005A7B1E"/>
    <w:rsid w:val="005B17C0"/>
    <w:rsid w:val="005B3FD1"/>
    <w:rsid w:val="005B5290"/>
    <w:rsid w:val="005D0AA3"/>
    <w:rsid w:val="005E1F25"/>
    <w:rsid w:val="005E3715"/>
    <w:rsid w:val="005F249D"/>
    <w:rsid w:val="006000A9"/>
    <w:rsid w:val="00611503"/>
    <w:rsid w:val="00631470"/>
    <w:rsid w:val="006358F8"/>
    <w:rsid w:val="00636272"/>
    <w:rsid w:val="00642E6E"/>
    <w:rsid w:val="00662CD3"/>
    <w:rsid w:val="00681175"/>
    <w:rsid w:val="00684256"/>
    <w:rsid w:val="00697350"/>
    <w:rsid w:val="006B3A52"/>
    <w:rsid w:val="006B6285"/>
    <w:rsid w:val="006D228B"/>
    <w:rsid w:val="006E7689"/>
    <w:rsid w:val="006F44FB"/>
    <w:rsid w:val="007073CB"/>
    <w:rsid w:val="00720F7E"/>
    <w:rsid w:val="00721FF8"/>
    <w:rsid w:val="00742889"/>
    <w:rsid w:val="00742DCD"/>
    <w:rsid w:val="00757610"/>
    <w:rsid w:val="00773C3D"/>
    <w:rsid w:val="00785F3E"/>
    <w:rsid w:val="00787432"/>
    <w:rsid w:val="00794D42"/>
    <w:rsid w:val="00795807"/>
    <w:rsid w:val="007B051F"/>
    <w:rsid w:val="007B3E35"/>
    <w:rsid w:val="007D1D30"/>
    <w:rsid w:val="007D2890"/>
    <w:rsid w:val="007D496F"/>
    <w:rsid w:val="007E1101"/>
    <w:rsid w:val="007E7C68"/>
    <w:rsid w:val="007F0FD0"/>
    <w:rsid w:val="007F754B"/>
    <w:rsid w:val="0080176B"/>
    <w:rsid w:val="008151FE"/>
    <w:rsid w:val="00833243"/>
    <w:rsid w:val="0083643F"/>
    <w:rsid w:val="008469A9"/>
    <w:rsid w:val="00857E97"/>
    <w:rsid w:val="00866F6A"/>
    <w:rsid w:val="00871D1E"/>
    <w:rsid w:val="00873C19"/>
    <w:rsid w:val="0089097F"/>
    <w:rsid w:val="00891380"/>
    <w:rsid w:val="0089239A"/>
    <w:rsid w:val="008B641E"/>
    <w:rsid w:val="008C50A8"/>
    <w:rsid w:val="008D05A2"/>
    <w:rsid w:val="008D388F"/>
    <w:rsid w:val="00910DCD"/>
    <w:rsid w:val="00920ABA"/>
    <w:rsid w:val="00924929"/>
    <w:rsid w:val="009271C3"/>
    <w:rsid w:val="00931D51"/>
    <w:rsid w:val="00940901"/>
    <w:rsid w:val="009432D5"/>
    <w:rsid w:val="00946D1A"/>
    <w:rsid w:val="009758F5"/>
    <w:rsid w:val="00977AD3"/>
    <w:rsid w:val="00981768"/>
    <w:rsid w:val="00984B29"/>
    <w:rsid w:val="0099475E"/>
    <w:rsid w:val="009A5804"/>
    <w:rsid w:val="009A6882"/>
    <w:rsid w:val="009C0A6E"/>
    <w:rsid w:val="009C6FCA"/>
    <w:rsid w:val="009D0F40"/>
    <w:rsid w:val="00A1219C"/>
    <w:rsid w:val="00A12367"/>
    <w:rsid w:val="00A14D85"/>
    <w:rsid w:val="00A2255F"/>
    <w:rsid w:val="00A25B42"/>
    <w:rsid w:val="00A30365"/>
    <w:rsid w:val="00A31662"/>
    <w:rsid w:val="00A358BA"/>
    <w:rsid w:val="00A5070D"/>
    <w:rsid w:val="00A621A9"/>
    <w:rsid w:val="00A8305A"/>
    <w:rsid w:val="00A83533"/>
    <w:rsid w:val="00AA4912"/>
    <w:rsid w:val="00AA63E0"/>
    <w:rsid w:val="00AA648B"/>
    <w:rsid w:val="00AB2A91"/>
    <w:rsid w:val="00AC37AA"/>
    <w:rsid w:val="00AD3F12"/>
    <w:rsid w:val="00AE2F63"/>
    <w:rsid w:val="00AE337F"/>
    <w:rsid w:val="00AE42E3"/>
    <w:rsid w:val="00AE470F"/>
    <w:rsid w:val="00AF0EEE"/>
    <w:rsid w:val="00B021E9"/>
    <w:rsid w:val="00B04074"/>
    <w:rsid w:val="00B06C99"/>
    <w:rsid w:val="00B112C0"/>
    <w:rsid w:val="00B239CD"/>
    <w:rsid w:val="00B40797"/>
    <w:rsid w:val="00B62C1C"/>
    <w:rsid w:val="00B647B3"/>
    <w:rsid w:val="00BA5C36"/>
    <w:rsid w:val="00BB0447"/>
    <w:rsid w:val="00BB2FC3"/>
    <w:rsid w:val="00BC3180"/>
    <w:rsid w:val="00BC60CB"/>
    <w:rsid w:val="00BC6803"/>
    <w:rsid w:val="00BD1AE2"/>
    <w:rsid w:val="00BE30B4"/>
    <w:rsid w:val="00BF4582"/>
    <w:rsid w:val="00C00A4F"/>
    <w:rsid w:val="00C06925"/>
    <w:rsid w:val="00C26D13"/>
    <w:rsid w:val="00C43492"/>
    <w:rsid w:val="00C52947"/>
    <w:rsid w:val="00C72248"/>
    <w:rsid w:val="00C72E3D"/>
    <w:rsid w:val="00C83BFF"/>
    <w:rsid w:val="00C96AD9"/>
    <w:rsid w:val="00CA021C"/>
    <w:rsid w:val="00CB22F9"/>
    <w:rsid w:val="00CB24D5"/>
    <w:rsid w:val="00CB2DA2"/>
    <w:rsid w:val="00CC1DE6"/>
    <w:rsid w:val="00CC3222"/>
    <w:rsid w:val="00CD6D56"/>
    <w:rsid w:val="00CE3536"/>
    <w:rsid w:val="00D102DB"/>
    <w:rsid w:val="00D32B0A"/>
    <w:rsid w:val="00D33457"/>
    <w:rsid w:val="00D334CA"/>
    <w:rsid w:val="00D335AA"/>
    <w:rsid w:val="00D33704"/>
    <w:rsid w:val="00D36B11"/>
    <w:rsid w:val="00D51AE4"/>
    <w:rsid w:val="00D56C22"/>
    <w:rsid w:val="00D663FA"/>
    <w:rsid w:val="00D728E3"/>
    <w:rsid w:val="00DA0B26"/>
    <w:rsid w:val="00DB2CD2"/>
    <w:rsid w:val="00DC5EDF"/>
    <w:rsid w:val="00DD3C35"/>
    <w:rsid w:val="00DD5697"/>
    <w:rsid w:val="00DE338B"/>
    <w:rsid w:val="00DF39CD"/>
    <w:rsid w:val="00E003A4"/>
    <w:rsid w:val="00E04697"/>
    <w:rsid w:val="00E17B85"/>
    <w:rsid w:val="00E26430"/>
    <w:rsid w:val="00E41C23"/>
    <w:rsid w:val="00E50D4A"/>
    <w:rsid w:val="00E5433D"/>
    <w:rsid w:val="00E55DA0"/>
    <w:rsid w:val="00E5661B"/>
    <w:rsid w:val="00E63E6F"/>
    <w:rsid w:val="00E645C2"/>
    <w:rsid w:val="00E801FA"/>
    <w:rsid w:val="00E93FE9"/>
    <w:rsid w:val="00E966B7"/>
    <w:rsid w:val="00E97907"/>
    <w:rsid w:val="00EA15DA"/>
    <w:rsid w:val="00EB3BE1"/>
    <w:rsid w:val="00EC0BB8"/>
    <w:rsid w:val="00EC631D"/>
    <w:rsid w:val="00EE298A"/>
    <w:rsid w:val="00F037F1"/>
    <w:rsid w:val="00F07CBC"/>
    <w:rsid w:val="00F15D56"/>
    <w:rsid w:val="00F24379"/>
    <w:rsid w:val="00F27046"/>
    <w:rsid w:val="00F32BE1"/>
    <w:rsid w:val="00F33DD2"/>
    <w:rsid w:val="00F50011"/>
    <w:rsid w:val="00F60010"/>
    <w:rsid w:val="00F61A5D"/>
    <w:rsid w:val="00F670ED"/>
    <w:rsid w:val="00F85FB1"/>
    <w:rsid w:val="00F95687"/>
    <w:rsid w:val="00FA087A"/>
    <w:rsid w:val="00FA2D9E"/>
    <w:rsid w:val="00FB0B2D"/>
    <w:rsid w:val="00FC29DB"/>
    <w:rsid w:val="00FC7932"/>
    <w:rsid w:val="00FC7F6A"/>
    <w:rsid w:val="00FD66F3"/>
    <w:rsid w:val="00FE0DEB"/>
    <w:rsid w:val="00FE233E"/>
    <w:rsid w:val="00FE27C6"/>
    <w:rsid w:val="00FE537D"/>
    <w:rsid w:val="00FF3F8A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2578"/>
  <w15:chartTrackingRefBased/>
  <w15:docId w15:val="{40552A49-5BFB-4ACE-AAFB-F99EEF6C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04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900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35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5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6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0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0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0C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F0C"/>
  </w:style>
  <w:style w:type="paragraph" w:styleId="Footer">
    <w:name w:val="footer"/>
    <w:basedOn w:val="Normal"/>
    <w:link w:val="FooterChar"/>
    <w:uiPriority w:val="99"/>
    <w:unhideWhenUsed/>
    <w:rsid w:val="00384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2</cp:revision>
  <dcterms:created xsi:type="dcterms:W3CDTF">2025-07-17T15:02:00Z</dcterms:created>
  <dcterms:modified xsi:type="dcterms:W3CDTF">2025-07-17T15:02:00Z</dcterms:modified>
</cp:coreProperties>
</file>