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41C2" w14:textId="77777777" w:rsidR="00492D31" w:rsidRPr="00AE4CCD" w:rsidRDefault="00492D31" w:rsidP="00EE2630">
      <w:pPr>
        <w:pStyle w:val="WW-BodyText2"/>
        <w:tabs>
          <w:tab w:val="left" w:pos="1260"/>
        </w:tabs>
        <w:spacing w:after="60"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78F1583C" w14:textId="33EA9FE4" w:rsidR="00492D31" w:rsidRPr="00AE4CCD" w:rsidRDefault="00492D31" w:rsidP="00EE2630">
      <w:pPr>
        <w:pStyle w:val="WW-BodyText2"/>
        <w:tabs>
          <w:tab w:val="left" w:pos="1260"/>
        </w:tabs>
        <w:spacing w:after="60"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529 education savings plans: More flexible than you think</w:t>
      </w:r>
    </w:p>
    <w:p w14:paraId="00203C2B" w14:textId="77777777" w:rsidR="00492D31" w:rsidRDefault="00492D31" w:rsidP="00EE2630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460159D3" w14:textId="77777777" w:rsidR="00505982" w:rsidRDefault="00505982" w:rsidP="00EE2630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EA0272C" w14:textId="61E3D996" w:rsidR="002852A6" w:rsidRDefault="00137C73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 w:rsidRPr="00137C73">
        <w:rPr>
          <w:rFonts w:ascii="Arial" w:hAnsi="Arial" w:cs="Arial"/>
          <w:sz w:val="22"/>
          <w:szCs w:val="22"/>
        </w:rPr>
        <w:t>Planning for your child</w:t>
      </w:r>
      <w:r w:rsidR="00982B41">
        <w:rPr>
          <w:rFonts w:ascii="Arial" w:hAnsi="Arial" w:cs="Arial"/>
          <w:sz w:val="22"/>
          <w:szCs w:val="22"/>
        </w:rPr>
        <w:t>’</w:t>
      </w:r>
      <w:r w:rsidRPr="00137C73">
        <w:rPr>
          <w:rFonts w:ascii="Arial" w:hAnsi="Arial" w:cs="Arial"/>
          <w:sz w:val="22"/>
          <w:szCs w:val="22"/>
        </w:rPr>
        <w:t xml:space="preserve">s education can feel overwhelming, but </w:t>
      </w:r>
      <w:r w:rsidR="009F2D03">
        <w:rPr>
          <w:rFonts w:ascii="Arial" w:hAnsi="Arial" w:cs="Arial"/>
          <w:sz w:val="22"/>
          <w:szCs w:val="22"/>
        </w:rPr>
        <w:t xml:space="preserve">a </w:t>
      </w:r>
      <w:r w:rsidRPr="00137C73">
        <w:rPr>
          <w:rFonts w:ascii="Arial" w:hAnsi="Arial" w:cs="Arial"/>
          <w:sz w:val="22"/>
          <w:szCs w:val="22"/>
        </w:rPr>
        <w:t>529 education savings plan offer</w:t>
      </w:r>
      <w:r w:rsidR="009F2D03" w:rsidRPr="00137C73">
        <w:rPr>
          <w:rFonts w:ascii="Arial" w:hAnsi="Arial" w:cs="Arial"/>
          <w:sz w:val="22"/>
          <w:szCs w:val="22"/>
        </w:rPr>
        <w:t>s</w:t>
      </w:r>
      <w:r w:rsidRPr="00137C73">
        <w:rPr>
          <w:rFonts w:ascii="Arial" w:hAnsi="Arial" w:cs="Arial"/>
          <w:sz w:val="22"/>
          <w:szCs w:val="22"/>
        </w:rPr>
        <w:t xml:space="preserve"> a powerful way to build a financial foundation for their </w:t>
      </w:r>
      <w:r w:rsidR="00D722DC">
        <w:rPr>
          <w:rFonts w:ascii="Arial" w:hAnsi="Arial" w:cs="Arial"/>
          <w:sz w:val="22"/>
          <w:szCs w:val="22"/>
        </w:rPr>
        <w:t xml:space="preserve">educational </w:t>
      </w:r>
      <w:r w:rsidRPr="00137C73">
        <w:rPr>
          <w:rFonts w:ascii="Arial" w:hAnsi="Arial" w:cs="Arial"/>
          <w:sz w:val="22"/>
          <w:szCs w:val="22"/>
        </w:rPr>
        <w:t xml:space="preserve">future. </w:t>
      </w:r>
    </w:p>
    <w:p w14:paraId="36E74200" w14:textId="6257E75A" w:rsidR="00AC5F65" w:rsidRDefault="00D722DC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in </w:t>
      </w:r>
      <w:r w:rsidR="00982B4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AC5F65">
        <w:rPr>
          <w:rFonts w:ascii="Arial" w:hAnsi="Arial" w:cs="Arial"/>
          <w:sz w:val="22"/>
          <w:szCs w:val="22"/>
        </w:rPr>
        <w:t>parents currently invest</w:t>
      </w:r>
      <w:r w:rsidR="00982B41">
        <w:rPr>
          <w:rFonts w:ascii="Arial" w:hAnsi="Arial" w:cs="Arial"/>
          <w:sz w:val="22"/>
          <w:szCs w:val="22"/>
        </w:rPr>
        <w:t>s</w:t>
      </w:r>
      <w:r w:rsidR="00AC5F65">
        <w:rPr>
          <w:rFonts w:ascii="Arial" w:hAnsi="Arial" w:cs="Arial"/>
          <w:sz w:val="22"/>
          <w:szCs w:val="22"/>
        </w:rPr>
        <w:t xml:space="preserve"> in a 529 plan, according to </w:t>
      </w:r>
      <w:hyperlink r:id="rId5" w:history="1">
        <w:r w:rsidR="00AC5F65" w:rsidRPr="00E742D1">
          <w:rPr>
            <w:rStyle w:val="Hyperlink"/>
            <w:rFonts w:ascii="Arial" w:hAnsi="Arial" w:cs="Arial"/>
            <w:sz w:val="22"/>
            <w:szCs w:val="22"/>
          </w:rPr>
          <w:t>2025 research</w:t>
        </w:r>
      </w:hyperlink>
      <w:r w:rsidR="00AC5F65">
        <w:rPr>
          <w:rFonts w:ascii="Arial" w:hAnsi="Arial" w:cs="Arial"/>
          <w:sz w:val="22"/>
          <w:szCs w:val="22"/>
        </w:rPr>
        <w:t xml:space="preserve"> by Edward Jones and Morning Consult. Perhaps it</w:t>
      </w:r>
      <w:r w:rsidR="00982B41">
        <w:rPr>
          <w:rFonts w:ascii="Arial" w:hAnsi="Arial" w:cs="Arial"/>
          <w:sz w:val="22"/>
          <w:szCs w:val="22"/>
        </w:rPr>
        <w:t>’</w:t>
      </w:r>
      <w:r w:rsidR="00AC5F65">
        <w:rPr>
          <w:rFonts w:ascii="Arial" w:hAnsi="Arial" w:cs="Arial"/>
          <w:sz w:val="22"/>
          <w:szCs w:val="22"/>
        </w:rPr>
        <w:t>s because of the tax benefits</w:t>
      </w:r>
      <w:r w:rsidR="00982B41">
        <w:rPr>
          <w:rFonts w:ascii="Arial" w:hAnsi="Arial" w:cs="Arial"/>
          <w:sz w:val="22"/>
          <w:szCs w:val="22"/>
        </w:rPr>
        <w:t xml:space="preserve"> —</w:t>
      </w:r>
      <w:r w:rsidR="002852A6">
        <w:rPr>
          <w:rFonts w:ascii="Arial" w:hAnsi="Arial" w:cs="Arial"/>
          <w:sz w:val="22"/>
          <w:szCs w:val="22"/>
        </w:rPr>
        <w:t xml:space="preserve"> earnings </w:t>
      </w:r>
      <w:r w:rsidR="00AC5F65">
        <w:rPr>
          <w:rFonts w:ascii="Arial" w:hAnsi="Arial" w:cs="Arial"/>
          <w:sz w:val="22"/>
          <w:szCs w:val="22"/>
        </w:rPr>
        <w:t>are generally tax free</w:t>
      </w:r>
      <w:r w:rsidR="009332C4">
        <w:rPr>
          <w:rFonts w:ascii="Arial" w:hAnsi="Arial" w:cs="Arial"/>
          <w:sz w:val="22"/>
          <w:szCs w:val="22"/>
        </w:rPr>
        <w:t xml:space="preserve"> if </w:t>
      </w:r>
      <w:r w:rsidR="00AC5F65">
        <w:rPr>
          <w:rFonts w:ascii="Arial" w:hAnsi="Arial" w:cs="Arial"/>
          <w:sz w:val="22"/>
          <w:szCs w:val="22"/>
        </w:rPr>
        <w:t xml:space="preserve">the money is used for qualified educational expenses. </w:t>
      </w:r>
      <w:r w:rsidR="002852A6">
        <w:rPr>
          <w:rFonts w:ascii="Arial" w:hAnsi="Arial" w:cs="Arial"/>
          <w:sz w:val="22"/>
          <w:szCs w:val="22"/>
        </w:rPr>
        <w:t xml:space="preserve">Or </w:t>
      </w:r>
      <w:r w:rsidR="00967F18">
        <w:rPr>
          <w:rFonts w:ascii="Arial" w:hAnsi="Arial" w:cs="Arial"/>
          <w:sz w:val="22"/>
          <w:szCs w:val="22"/>
        </w:rPr>
        <w:t>perhaps it</w:t>
      </w:r>
      <w:r w:rsidR="00982B41">
        <w:rPr>
          <w:rFonts w:ascii="Arial" w:hAnsi="Arial" w:cs="Arial"/>
          <w:sz w:val="22"/>
          <w:szCs w:val="22"/>
        </w:rPr>
        <w:t>’</w:t>
      </w:r>
      <w:r w:rsidR="00967F18">
        <w:rPr>
          <w:rFonts w:ascii="Arial" w:hAnsi="Arial" w:cs="Arial"/>
          <w:sz w:val="22"/>
          <w:szCs w:val="22"/>
        </w:rPr>
        <w:t>s</w:t>
      </w:r>
      <w:r w:rsidR="002852A6">
        <w:rPr>
          <w:rFonts w:ascii="Arial" w:hAnsi="Arial" w:cs="Arial"/>
          <w:sz w:val="22"/>
          <w:szCs w:val="22"/>
        </w:rPr>
        <w:t xml:space="preserve"> because of the</w:t>
      </w:r>
      <w:r w:rsidR="006F707F">
        <w:rPr>
          <w:rFonts w:ascii="Arial" w:hAnsi="Arial" w:cs="Arial"/>
          <w:sz w:val="22"/>
          <w:szCs w:val="22"/>
        </w:rPr>
        <w:t>ir</w:t>
      </w:r>
      <w:r w:rsidR="002852A6">
        <w:rPr>
          <w:rFonts w:ascii="Arial" w:hAnsi="Arial" w:cs="Arial"/>
          <w:sz w:val="22"/>
          <w:szCs w:val="22"/>
        </w:rPr>
        <w:t xml:space="preserve"> flexibility. </w:t>
      </w:r>
    </w:p>
    <w:p w14:paraId="57529506" w14:textId="032D9B1D" w:rsidR="006F707F" w:rsidRDefault="006F707F" w:rsidP="006F707F">
      <w:pPr>
        <w:spacing w:after="60" w:line="360" w:lineRule="auto"/>
        <w:ind w:firstLine="720"/>
      </w:pPr>
      <w:r>
        <w:rPr>
          <w:rFonts w:ascii="Arial" w:hAnsi="Arial" w:cs="Arial"/>
          <w:b/>
          <w:bCs/>
          <w:sz w:val="22"/>
          <w:szCs w:val="22"/>
        </w:rPr>
        <w:t xml:space="preserve">Types of education. </w:t>
      </w:r>
      <w:r>
        <w:rPr>
          <w:rFonts w:ascii="Arial" w:hAnsi="Arial" w:cs="Arial"/>
          <w:sz w:val="22"/>
          <w:szCs w:val="22"/>
        </w:rPr>
        <w:t>While</w:t>
      </w:r>
      <w:r w:rsidRPr="00137C73">
        <w:rPr>
          <w:rFonts w:ascii="Arial" w:hAnsi="Arial" w:cs="Arial"/>
          <w:sz w:val="22"/>
          <w:szCs w:val="22"/>
        </w:rPr>
        <w:t xml:space="preserve"> </w:t>
      </w:r>
      <w:r w:rsidR="00137C73" w:rsidRPr="00137C73">
        <w:rPr>
          <w:rFonts w:ascii="Arial" w:hAnsi="Arial" w:cs="Arial"/>
          <w:sz w:val="22"/>
          <w:szCs w:val="22"/>
        </w:rPr>
        <w:t xml:space="preserve">most people know 529 plans can </w:t>
      </w:r>
      <w:r w:rsidR="00A33C89">
        <w:rPr>
          <w:rFonts w:ascii="Arial" w:hAnsi="Arial" w:cs="Arial"/>
          <w:sz w:val="22"/>
          <w:szCs w:val="22"/>
        </w:rPr>
        <w:t xml:space="preserve">help </w:t>
      </w:r>
      <w:r w:rsidR="00137C73" w:rsidRPr="00137C73">
        <w:rPr>
          <w:rFonts w:ascii="Arial" w:hAnsi="Arial" w:cs="Arial"/>
          <w:sz w:val="22"/>
          <w:szCs w:val="22"/>
        </w:rPr>
        <w:t xml:space="preserve">cover college and university tuition, these versatile accounts can </w:t>
      </w:r>
      <w:r>
        <w:rPr>
          <w:rFonts w:ascii="Arial" w:hAnsi="Arial" w:cs="Arial"/>
          <w:sz w:val="22"/>
          <w:szCs w:val="22"/>
        </w:rPr>
        <w:t>also pay tuition for v</w:t>
      </w:r>
      <w:r w:rsidR="00137C73" w:rsidRPr="00EE2630">
        <w:rPr>
          <w:rFonts w:ascii="Arial" w:hAnsi="Arial" w:cs="Arial"/>
          <w:sz w:val="22"/>
          <w:szCs w:val="22"/>
        </w:rPr>
        <w:t>ocational and trade school</w:t>
      </w:r>
      <w:r>
        <w:rPr>
          <w:rFonts w:ascii="Arial" w:hAnsi="Arial" w:cs="Arial"/>
          <w:sz w:val="22"/>
          <w:szCs w:val="22"/>
        </w:rPr>
        <w:t>s</w:t>
      </w:r>
      <w:r w:rsidR="00137C73" w:rsidRPr="00EE2630">
        <w:rPr>
          <w:rFonts w:ascii="Arial" w:hAnsi="Arial" w:cs="Arial"/>
          <w:sz w:val="22"/>
          <w:szCs w:val="22"/>
        </w:rPr>
        <w:t xml:space="preserve">, making </w:t>
      </w:r>
      <w:r>
        <w:rPr>
          <w:rFonts w:ascii="Arial" w:hAnsi="Arial" w:cs="Arial"/>
          <w:sz w:val="22"/>
          <w:szCs w:val="22"/>
        </w:rPr>
        <w:t xml:space="preserve">them </w:t>
      </w:r>
      <w:r w:rsidR="006A67DD">
        <w:rPr>
          <w:rFonts w:ascii="Arial" w:hAnsi="Arial" w:cs="Arial"/>
          <w:sz w:val="22"/>
          <w:szCs w:val="22"/>
        </w:rPr>
        <w:t>suitable</w:t>
      </w:r>
      <w:r w:rsidR="006A67DD" w:rsidRPr="00EE2630">
        <w:rPr>
          <w:rFonts w:ascii="Arial" w:hAnsi="Arial" w:cs="Arial"/>
          <w:sz w:val="22"/>
          <w:szCs w:val="22"/>
        </w:rPr>
        <w:t xml:space="preserve"> </w:t>
      </w:r>
      <w:r w:rsidR="00137C73" w:rsidRPr="00EE2630">
        <w:rPr>
          <w:rFonts w:ascii="Arial" w:hAnsi="Arial" w:cs="Arial"/>
          <w:sz w:val="22"/>
          <w:szCs w:val="22"/>
        </w:rPr>
        <w:t xml:space="preserve">for students pursuing careers in skilled trades like plumbing, electrical work or culinary arts. </w:t>
      </w:r>
      <w:r>
        <w:rPr>
          <w:rFonts w:ascii="Arial" w:hAnsi="Arial" w:cs="Arial"/>
          <w:sz w:val="22"/>
          <w:szCs w:val="22"/>
        </w:rPr>
        <w:t xml:space="preserve">Additionally, some apprenticeship programs qualify for these funds. And even K-12 tuition expenses are covered, up to </w:t>
      </w:r>
      <w:r w:rsidRPr="00137C73">
        <w:t>$10,000 per year for private, public and religious elementary and secondary schools</w:t>
      </w:r>
      <w:r>
        <w:t>.</w:t>
      </w:r>
    </w:p>
    <w:p w14:paraId="01EE2985" w14:textId="7298BC1B" w:rsidR="00967F18" w:rsidRDefault="006F707F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 w:rsidRPr="006F707F" w:rsidDel="00967F18">
        <w:rPr>
          <w:rFonts w:ascii="Arial" w:hAnsi="Arial" w:cs="Arial"/>
          <w:sz w:val="22"/>
          <w:szCs w:val="22"/>
        </w:rPr>
        <w:t xml:space="preserve"> </w:t>
      </w:r>
      <w:r w:rsidR="00032BA5">
        <w:rPr>
          <w:rFonts w:ascii="Arial" w:hAnsi="Arial" w:cs="Arial"/>
          <w:b/>
          <w:bCs/>
          <w:sz w:val="22"/>
          <w:szCs w:val="22"/>
        </w:rPr>
        <w:t xml:space="preserve">Beyond tuition. </w:t>
      </w:r>
      <w:r w:rsidR="00032BA5">
        <w:rPr>
          <w:rFonts w:ascii="Arial" w:hAnsi="Arial" w:cs="Arial"/>
          <w:sz w:val="22"/>
          <w:szCs w:val="22"/>
        </w:rPr>
        <w:t xml:space="preserve">Withdrawals from a 529 plan can move beyond tuition and cover the cost of room and board for students enrolled at least half-time. </w:t>
      </w:r>
      <w:r w:rsidR="004F3C84">
        <w:rPr>
          <w:rFonts w:ascii="Arial" w:hAnsi="Arial" w:cs="Arial"/>
          <w:sz w:val="22"/>
          <w:szCs w:val="22"/>
        </w:rPr>
        <w:t xml:space="preserve">They can </w:t>
      </w:r>
      <w:r w:rsidR="00032BA5">
        <w:rPr>
          <w:rFonts w:ascii="Arial" w:hAnsi="Arial" w:cs="Arial"/>
          <w:sz w:val="22"/>
          <w:szCs w:val="22"/>
        </w:rPr>
        <w:t xml:space="preserve">help pay for books, computers and </w:t>
      </w:r>
      <w:r w:rsidR="00E53B6B">
        <w:rPr>
          <w:rFonts w:ascii="Arial" w:hAnsi="Arial" w:cs="Arial"/>
          <w:sz w:val="22"/>
          <w:szCs w:val="22"/>
        </w:rPr>
        <w:t xml:space="preserve">qualified </w:t>
      </w:r>
      <w:r w:rsidR="00032BA5">
        <w:rPr>
          <w:rFonts w:ascii="Arial" w:hAnsi="Arial" w:cs="Arial"/>
          <w:sz w:val="22"/>
          <w:szCs w:val="22"/>
        </w:rPr>
        <w:t xml:space="preserve">educational supplies. And </w:t>
      </w:r>
      <w:r w:rsidR="00E53B6B">
        <w:rPr>
          <w:rFonts w:ascii="Arial" w:hAnsi="Arial" w:cs="Arial"/>
          <w:sz w:val="22"/>
          <w:szCs w:val="22"/>
        </w:rPr>
        <w:t>a big surprise for some: A</w:t>
      </w:r>
      <w:r w:rsidR="00032BA5">
        <w:rPr>
          <w:rFonts w:ascii="Arial" w:hAnsi="Arial" w:cs="Arial"/>
          <w:sz w:val="22"/>
          <w:szCs w:val="22"/>
        </w:rPr>
        <w:t xml:space="preserve"> 529 plan can </w:t>
      </w:r>
      <w:r w:rsidR="00032BA5" w:rsidRPr="00137C73">
        <w:rPr>
          <w:rFonts w:ascii="Arial" w:hAnsi="Arial" w:cs="Arial"/>
          <w:sz w:val="22"/>
          <w:szCs w:val="22"/>
        </w:rPr>
        <w:t>help with student loan repayment up to $10,000 per beneficiary</w:t>
      </w:r>
      <w:r w:rsidR="00032BA5">
        <w:rPr>
          <w:rFonts w:ascii="Arial" w:hAnsi="Arial" w:cs="Arial"/>
          <w:sz w:val="22"/>
          <w:szCs w:val="22"/>
        </w:rPr>
        <w:t>.</w:t>
      </w:r>
    </w:p>
    <w:p w14:paraId="43B6F978" w14:textId="5A0B68A5" w:rsidR="00A65CE5" w:rsidRPr="00137C73" w:rsidRDefault="00A65CE5" w:rsidP="00A65CE5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Who can contribute. </w:t>
      </w:r>
      <w:r>
        <w:rPr>
          <w:rFonts w:ascii="Arial" w:hAnsi="Arial" w:cs="Arial"/>
          <w:sz w:val="22"/>
          <w:szCs w:val="22"/>
        </w:rPr>
        <w:t>Fortunately, 529 plans</w:t>
      </w:r>
      <w:r w:rsidRPr="00137C73">
        <w:rPr>
          <w:rFonts w:ascii="Arial" w:hAnsi="Arial" w:cs="Arial"/>
          <w:sz w:val="22"/>
          <w:szCs w:val="22"/>
        </w:rPr>
        <w:t xml:space="preserve"> welcome contributions from anyone </w:t>
      </w:r>
      <w:r w:rsidR="00982B41">
        <w:rPr>
          <w:rFonts w:ascii="Arial" w:hAnsi="Arial" w:cs="Arial"/>
          <w:sz w:val="22"/>
          <w:szCs w:val="22"/>
        </w:rPr>
        <w:t>—</w:t>
      </w:r>
      <w:r w:rsidRPr="00137C73">
        <w:rPr>
          <w:rFonts w:ascii="Arial" w:hAnsi="Arial" w:cs="Arial"/>
          <w:sz w:val="22"/>
          <w:szCs w:val="22"/>
        </w:rPr>
        <w:t xml:space="preserve"> parents, grandparents, </w:t>
      </w:r>
      <w:r w:rsidR="00982B41">
        <w:rPr>
          <w:rFonts w:ascii="Arial" w:hAnsi="Arial" w:cs="Arial"/>
          <w:sz w:val="22"/>
          <w:szCs w:val="22"/>
        </w:rPr>
        <w:t xml:space="preserve">other </w:t>
      </w:r>
      <w:r w:rsidRPr="00137C73">
        <w:rPr>
          <w:rFonts w:ascii="Arial" w:hAnsi="Arial" w:cs="Arial"/>
          <w:sz w:val="22"/>
          <w:szCs w:val="22"/>
        </w:rPr>
        <w:t>family</w:t>
      </w:r>
      <w:r w:rsidR="009332C4">
        <w:rPr>
          <w:rFonts w:ascii="Arial" w:hAnsi="Arial" w:cs="Arial"/>
          <w:sz w:val="22"/>
          <w:szCs w:val="22"/>
        </w:rPr>
        <w:t xml:space="preserve"> and</w:t>
      </w:r>
      <w:r w:rsidRPr="00137C73">
        <w:rPr>
          <w:rFonts w:ascii="Arial" w:hAnsi="Arial" w:cs="Arial"/>
          <w:sz w:val="22"/>
          <w:szCs w:val="22"/>
        </w:rPr>
        <w:t xml:space="preserve"> friends. </w:t>
      </w:r>
      <w:r w:rsidR="00982B41">
        <w:rPr>
          <w:rFonts w:ascii="Arial" w:hAnsi="Arial" w:cs="Arial"/>
          <w:sz w:val="22"/>
          <w:szCs w:val="22"/>
        </w:rPr>
        <w:t>Contributions</w:t>
      </w:r>
      <w:r w:rsidRPr="00137C73">
        <w:rPr>
          <w:rFonts w:ascii="Arial" w:hAnsi="Arial" w:cs="Arial"/>
          <w:sz w:val="22"/>
          <w:szCs w:val="22"/>
        </w:rPr>
        <w:t xml:space="preserve"> are treated as gifts to the beneficiary, so most contributors </w:t>
      </w:r>
      <w:r w:rsidRPr="00492D31">
        <w:rPr>
          <w:rFonts w:ascii="Arial" w:hAnsi="Arial" w:cs="Arial"/>
          <w:sz w:val="22"/>
          <w:szCs w:val="22"/>
        </w:rPr>
        <w:t xml:space="preserve">will want to </w:t>
      </w:r>
      <w:r w:rsidRPr="00137C73">
        <w:rPr>
          <w:rFonts w:ascii="Arial" w:hAnsi="Arial" w:cs="Arial"/>
          <w:sz w:val="22"/>
          <w:szCs w:val="22"/>
        </w:rPr>
        <w:t xml:space="preserve">stay within the annual </w:t>
      </w:r>
      <w:r w:rsidR="004717CE">
        <w:rPr>
          <w:rFonts w:ascii="Arial" w:hAnsi="Arial" w:cs="Arial"/>
          <w:sz w:val="22"/>
          <w:szCs w:val="22"/>
        </w:rPr>
        <w:t xml:space="preserve">nontaxable </w:t>
      </w:r>
      <w:r w:rsidRPr="00137C73">
        <w:rPr>
          <w:rFonts w:ascii="Arial" w:hAnsi="Arial" w:cs="Arial"/>
          <w:sz w:val="22"/>
          <w:szCs w:val="22"/>
        </w:rPr>
        <w:t xml:space="preserve">gifting limit </w:t>
      </w:r>
      <w:r w:rsidRPr="00492D31">
        <w:rPr>
          <w:rFonts w:ascii="Arial" w:hAnsi="Arial" w:cs="Arial"/>
          <w:sz w:val="22"/>
          <w:szCs w:val="22"/>
        </w:rPr>
        <w:t>(which for 2025 is</w:t>
      </w:r>
      <w:r w:rsidRPr="00137C73">
        <w:rPr>
          <w:rFonts w:ascii="Arial" w:hAnsi="Arial" w:cs="Arial"/>
          <w:sz w:val="22"/>
          <w:szCs w:val="22"/>
        </w:rPr>
        <w:t xml:space="preserve"> $19,000 for individuals or $38,000 for married couples filing jointly</w:t>
      </w:r>
      <w:r w:rsidRPr="00492D31">
        <w:rPr>
          <w:rFonts w:ascii="Arial" w:hAnsi="Arial" w:cs="Arial"/>
          <w:sz w:val="22"/>
          <w:szCs w:val="22"/>
        </w:rPr>
        <w:t>)</w:t>
      </w:r>
      <w:r w:rsidRPr="00137C73">
        <w:rPr>
          <w:rFonts w:ascii="Arial" w:hAnsi="Arial" w:cs="Arial"/>
          <w:sz w:val="22"/>
          <w:szCs w:val="22"/>
        </w:rPr>
        <w:t xml:space="preserve">. </w:t>
      </w:r>
    </w:p>
    <w:p w14:paraId="5D8D3EF8" w14:textId="3EDBA9F2" w:rsidR="00A65CE5" w:rsidRPr="00137C73" w:rsidRDefault="00A65CE5" w:rsidP="00A65CE5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 w:rsidRPr="00137C73">
        <w:rPr>
          <w:rFonts w:ascii="Arial" w:hAnsi="Arial" w:cs="Arial"/>
          <w:sz w:val="22"/>
          <w:szCs w:val="22"/>
        </w:rPr>
        <w:t xml:space="preserve">Interestingly, </w:t>
      </w:r>
      <w:r w:rsidR="00982B41">
        <w:rPr>
          <w:rFonts w:ascii="Arial" w:hAnsi="Arial" w:cs="Arial"/>
          <w:sz w:val="22"/>
          <w:szCs w:val="22"/>
        </w:rPr>
        <w:t>1</w:t>
      </w:r>
      <w:r w:rsidRPr="00137C73">
        <w:rPr>
          <w:rFonts w:ascii="Arial" w:hAnsi="Arial" w:cs="Arial"/>
          <w:sz w:val="22"/>
          <w:szCs w:val="22"/>
        </w:rPr>
        <w:t xml:space="preserve"> in </w:t>
      </w:r>
      <w:r w:rsidR="00982B41">
        <w:rPr>
          <w:rFonts w:ascii="Arial" w:hAnsi="Arial" w:cs="Arial"/>
          <w:sz w:val="22"/>
          <w:szCs w:val="22"/>
        </w:rPr>
        <w:t>5</w:t>
      </w:r>
      <w:r w:rsidRPr="00137C73">
        <w:rPr>
          <w:rFonts w:ascii="Arial" w:hAnsi="Arial" w:cs="Arial"/>
          <w:sz w:val="22"/>
          <w:szCs w:val="22"/>
        </w:rPr>
        <w:t xml:space="preserve"> parents would prefer</w:t>
      </w:r>
      <w:r>
        <w:rPr>
          <w:rFonts w:ascii="Arial" w:hAnsi="Arial" w:cs="Arial"/>
          <w:sz w:val="22"/>
          <w:szCs w:val="22"/>
        </w:rPr>
        <w:t xml:space="preserve"> for</w:t>
      </w:r>
      <w:r w:rsidRPr="00137C73">
        <w:rPr>
          <w:rFonts w:ascii="Arial" w:hAnsi="Arial" w:cs="Arial"/>
          <w:sz w:val="22"/>
          <w:szCs w:val="22"/>
        </w:rPr>
        <w:t xml:space="preserve"> their child </w:t>
      </w:r>
      <w:r>
        <w:rPr>
          <w:rFonts w:ascii="Arial" w:hAnsi="Arial" w:cs="Arial"/>
          <w:sz w:val="22"/>
          <w:szCs w:val="22"/>
        </w:rPr>
        <w:t xml:space="preserve">to </w:t>
      </w:r>
      <w:r w:rsidRPr="00137C73">
        <w:rPr>
          <w:rFonts w:ascii="Arial" w:hAnsi="Arial" w:cs="Arial"/>
          <w:sz w:val="22"/>
          <w:szCs w:val="22"/>
        </w:rPr>
        <w:t xml:space="preserve">receive 529 contributions as gifts from loved ones, making these accounts perfect for birthdays, holidays and </w:t>
      </w:r>
      <w:r w:rsidR="00982B41">
        <w:rPr>
          <w:rFonts w:ascii="Arial" w:hAnsi="Arial" w:cs="Arial"/>
          <w:sz w:val="22"/>
          <w:szCs w:val="22"/>
        </w:rPr>
        <w:t xml:space="preserve">other </w:t>
      </w:r>
      <w:r w:rsidRPr="00137C73">
        <w:rPr>
          <w:rFonts w:ascii="Arial" w:hAnsi="Arial" w:cs="Arial"/>
          <w:sz w:val="22"/>
          <w:szCs w:val="22"/>
        </w:rPr>
        <w:t>special occasions.</w:t>
      </w:r>
    </w:p>
    <w:p w14:paraId="0EB589C9" w14:textId="2E9798A9" w:rsidR="00A65CE5" w:rsidRPr="00137C73" w:rsidRDefault="00A65CE5" w:rsidP="00A65CE5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Multiple children. </w:t>
      </w:r>
      <w:r>
        <w:rPr>
          <w:rFonts w:ascii="Arial" w:hAnsi="Arial" w:cs="Arial"/>
          <w:sz w:val="22"/>
          <w:szCs w:val="22"/>
        </w:rPr>
        <w:t xml:space="preserve">If you have </w:t>
      </w:r>
      <w:r w:rsidRPr="00137C73">
        <w:rPr>
          <w:rFonts w:ascii="Arial" w:hAnsi="Arial" w:cs="Arial"/>
          <w:sz w:val="22"/>
          <w:szCs w:val="22"/>
        </w:rPr>
        <w:t>multiple children</w:t>
      </w:r>
      <w:r>
        <w:rPr>
          <w:rFonts w:ascii="Arial" w:hAnsi="Arial" w:cs="Arial"/>
          <w:sz w:val="22"/>
          <w:szCs w:val="22"/>
        </w:rPr>
        <w:t xml:space="preserve">, you have options </w:t>
      </w:r>
      <w:r w:rsidRPr="00137C73">
        <w:rPr>
          <w:rFonts w:ascii="Arial" w:hAnsi="Arial" w:cs="Arial"/>
          <w:sz w:val="22"/>
          <w:szCs w:val="22"/>
        </w:rPr>
        <w:t xml:space="preserve">in how </w:t>
      </w:r>
      <w:r>
        <w:rPr>
          <w:rFonts w:ascii="Arial" w:hAnsi="Arial" w:cs="Arial"/>
          <w:sz w:val="22"/>
          <w:szCs w:val="22"/>
        </w:rPr>
        <w:t xml:space="preserve">you </w:t>
      </w:r>
      <w:r w:rsidRPr="00137C73">
        <w:rPr>
          <w:rFonts w:ascii="Arial" w:hAnsi="Arial" w:cs="Arial"/>
          <w:sz w:val="22"/>
          <w:szCs w:val="22"/>
        </w:rPr>
        <w:t xml:space="preserve">structure </w:t>
      </w:r>
      <w:r>
        <w:rPr>
          <w:rFonts w:ascii="Arial" w:hAnsi="Arial" w:cs="Arial"/>
          <w:sz w:val="22"/>
          <w:szCs w:val="22"/>
        </w:rPr>
        <w:t xml:space="preserve">your </w:t>
      </w:r>
      <w:r w:rsidRPr="00137C73">
        <w:rPr>
          <w:rFonts w:ascii="Arial" w:hAnsi="Arial" w:cs="Arial"/>
          <w:sz w:val="22"/>
          <w:szCs w:val="22"/>
        </w:rPr>
        <w:t xml:space="preserve">529 savings. </w:t>
      </w:r>
      <w:r>
        <w:rPr>
          <w:rFonts w:ascii="Arial" w:hAnsi="Arial" w:cs="Arial"/>
          <w:sz w:val="22"/>
          <w:szCs w:val="22"/>
        </w:rPr>
        <w:t>You can</w:t>
      </w:r>
      <w:r w:rsidRPr="00137C73">
        <w:rPr>
          <w:rFonts w:ascii="Arial" w:hAnsi="Arial" w:cs="Arial"/>
          <w:sz w:val="22"/>
          <w:szCs w:val="22"/>
        </w:rPr>
        <w:t xml:space="preserve"> maintain separate accounts for each child</w:t>
      </w:r>
      <w:r>
        <w:rPr>
          <w:rFonts w:ascii="Arial" w:hAnsi="Arial" w:cs="Arial"/>
          <w:sz w:val="22"/>
          <w:szCs w:val="22"/>
        </w:rPr>
        <w:t xml:space="preserve"> or</w:t>
      </w:r>
      <w:r w:rsidRPr="00137C73">
        <w:rPr>
          <w:rFonts w:ascii="Arial" w:hAnsi="Arial" w:cs="Arial"/>
          <w:sz w:val="22"/>
          <w:szCs w:val="22"/>
        </w:rPr>
        <w:t xml:space="preserve"> use one account for all </w:t>
      </w:r>
      <w:r>
        <w:rPr>
          <w:rFonts w:ascii="Arial" w:hAnsi="Arial" w:cs="Arial"/>
          <w:sz w:val="22"/>
          <w:szCs w:val="22"/>
        </w:rPr>
        <w:t>your</w:t>
      </w:r>
      <w:r w:rsidRPr="00137C73">
        <w:rPr>
          <w:rFonts w:ascii="Arial" w:hAnsi="Arial" w:cs="Arial"/>
          <w:sz w:val="22"/>
          <w:szCs w:val="22"/>
        </w:rPr>
        <w:t xml:space="preserve"> children. </w:t>
      </w:r>
    </w:p>
    <w:p w14:paraId="3B84E11C" w14:textId="257C3CCF" w:rsidR="00137C73" w:rsidRPr="00137C73" w:rsidRDefault="00032BA5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Unused funds</w:t>
      </w:r>
      <w:r w:rsidR="00A65CE5">
        <w:rPr>
          <w:rFonts w:ascii="Arial" w:hAnsi="Arial" w:cs="Arial"/>
          <w:b/>
          <w:bCs/>
          <w:sz w:val="22"/>
          <w:szCs w:val="22"/>
        </w:rPr>
        <w:t xml:space="preserve">. </w:t>
      </w:r>
      <w:r w:rsidR="00A65CE5">
        <w:rPr>
          <w:rFonts w:ascii="Arial" w:hAnsi="Arial" w:cs="Arial"/>
          <w:sz w:val="22"/>
          <w:szCs w:val="22"/>
        </w:rPr>
        <w:t xml:space="preserve">You may be concerned about </w:t>
      </w:r>
      <w:r w:rsidR="00137C73" w:rsidRPr="00137C73">
        <w:rPr>
          <w:rFonts w:ascii="Arial" w:hAnsi="Arial" w:cs="Arial"/>
          <w:sz w:val="22"/>
          <w:szCs w:val="22"/>
        </w:rPr>
        <w:t xml:space="preserve">what happens if your child doesn't use all the money. Fortunately, these accounts offer numerous penalty-free options. You can easily </w:t>
      </w:r>
      <w:r w:rsidR="00137C73" w:rsidRPr="00137C73">
        <w:rPr>
          <w:rFonts w:ascii="Arial" w:hAnsi="Arial" w:cs="Arial"/>
          <w:sz w:val="22"/>
          <w:szCs w:val="22"/>
        </w:rPr>
        <w:lastRenderedPageBreak/>
        <w:t>change the beneficiary to another qualifying family member, including siblings, nieces, nephews, grandchildren or even yourself as the account owner.</w:t>
      </w:r>
      <w:r w:rsidR="00967F18">
        <w:rPr>
          <w:rFonts w:ascii="Arial" w:hAnsi="Arial" w:cs="Arial"/>
          <w:sz w:val="22"/>
          <w:szCs w:val="22"/>
        </w:rPr>
        <w:t xml:space="preserve">  </w:t>
      </w:r>
    </w:p>
    <w:p w14:paraId="73BCB3CE" w14:textId="76747804" w:rsidR="00137C73" w:rsidRPr="00137C73" w:rsidRDefault="00137C73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 w:rsidRPr="00137C73">
        <w:rPr>
          <w:rFonts w:ascii="Arial" w:hAnsi="Arial" w:cs="Arial"/>
          <w:sz w:val="22"/>
          <w:szCs w:val="22"/>
        </w:rPr>
        <w:t>You can also roll funds to another family member</w:t>
      </w:r>
      <w:r w:rsidR="00982B41">
        <w:rPr>
          <w:rFonts w:ascii="Arial" w:hAnsi="Arial" w:cs="Arial"/>
          <w:sz w:val="22"/>
          <w:szCs w:val="22"/>
        </w:rPr>
        <w:t>’</w:t>
      </w:r>
      <w:r w:rsidRPr="00137C73">
        <w:rPr>
          <w:rFonts w:ascii="Arial" w:hAnsi="Arial" w:cs="Arial"/>
          <w:sz w:val="22"/>
          <w:szCs w:val="22"/>
        </w:rPr>
        <w:t>s existing 529 plan. If your child receives a scholarship, you can withdraw up to the scholarship amount without penalty (though you</w:t>
      </w:r>
      <w:r w:rsidR="00982B41">
        <w:rPr>
          <w:rFonts w:ascii="Arial" w:hAnsi="Arial" w:cs="Arial"/>
          <w:sz w:val="22"/>
          <w:szCs w:val="22"/>
        </w:rPr>
        <w:t>’</w:t>
      </w:r>
      <w:r w:rsidRPr="00137C73">
        <w:rPr>
          <w:rFonts w:ascii="Arial" w:hAnsi="Arial" w:cs="Arial"/>
          <w:sz w:val="22"/>
          <w:szCs w:val="22"/>
        </w:rPr>
        <w:t xml:space="preserve">ll pay income tax on </w:t>
      </w:r>
      <w:r w:rsidR="00750A99" w:rsidRPr="00492D31">
        <w:rPr>
          <w:rFonts w:ascii="Arial" w:hAnsi="Arial" w:cs="Arial"/>
          <w:sz w:val="22"/>
          <w:szCs w:val="22"/>
        </w:rPr>
        <w:t>a portion of the money</w:t>
      </w:r>
      <w:r w:rsidRPr="00137C73">
        <w:rPr>
          <w:rFonts w:ascii="Arial" w:hAnsi="Arial" w:cs="Arial"/>
          <w:sz w:val="22"/>
          <w:szCs w:val="22"/>
        </w:rPr>
        <w:t xml:space="preserve">). </w:t>
      </w:r>
      <w:r w:rsidR="004717CE">
        <w:rPr>
          <w:rFonts w:ascii="Arial" w:hAnsi="Arial" w:cs="Arial"/>
          <w:sz w:val="22"/>
          <w:szCs w:val="22"/>
        </w:rPr>
        <w:t xml:space="preserve">The IRS allows </w:t>
      </w:r>
      <w:r w:rsidRPr="00137C73">
        <w:rPr>
          <w:rFonts w:ascii="Arial" w:hAnsi="Arial" w:cs="Arial"/>
          <w:sz w:val="22"/>
          <w:szCs w:val="22"/>
        </w:rPr>
        <w:t>an</w:t>
      </w:r>
      <w:r w:rsidR="00750A99" w:rsidRPr="00492D31">
        <w:rPr>
          <w:rFonts w:ascii="Arial" w:hAnsi="Arial" w:cs="Arial"/>
          <w:sz w:val="22"/>
          <w:szCs w:val="22"/>
        </w:rPr>
        <w:t xml:space="preserve"> </w:t>
      </w:r>
      <w:r w:rsidRPr="00137C73">
        <w:rPr>
          <w:rFonts w:ascii="Arial" w:hAnsi="Arial" w:cs="Arial"/>
          <w:sz w:val="22"/>
          <w:szCs w:val="22"/>
        </w:rPr>
        <w:t>option to roll up to $35,000 into a Roth IRA for the beneficiary</w:t>
      </w:r>
      <w:r w:rsidR="00750A99" w:rsidRPr="00492D31">
        <w:rPr>
          <w:rFonts w:ascii="Arial" w:hAnsi="Arial" w:cs="Arial"/>
          <w:sz w:val="22"/>
          <w:szCs w:val="22"/>
        </w:rPr>
        <w:t xml:space="preserve"> if certain requirements are met</w:t>
      </w:r>
      <w:r w:rsidRPr="00137C73">
        <w:rPr>
          <w:rFonts w:ascii="Arial" w:hAnsi="Arial" w:cs="Arial"/>
          <w:sz w:val="22"/>
          <w:szCs w:val="22"/>
        </w:rPr>
        <w:t>.</w:t>
      </w:r>
      <w:r w:rsidR="004717CE">
        <w:rPr>
          <w:rFonts w:ascii="Arial" w:hAnsi="Arial" w:cs="Arial"/>
          <w:sz w:val="22"/>
          <w:szCs w:val="22"/>
        </w:rPr>
        <w:t xml:space="preserve"> You should consult with your tax advisor on this 529</w:t>
      </w:r>
      <w:r w:rsidR="00982B41">
        <w:rPr>
          <w:rFonts w:ascii="Arial" w:hAnsi="Arial" w:cs="Arial"/>
          <w:sz w:val="22"/>
          <w:szCs w:val="22"/>
        </w:rPr>
        <w:t>/</w:t>
      </w:r>
      <w:r w:rsidR="004717CE">
        <w:rPr>
          <w:rFonts w:ascii="Arial" w:hAnsi="Arial" w:cs="Arial"/>
          <w:sz w:val="22"/>
          <w:szCs w:val="22"/>
        </w:rPr>
        <w:t>Roth IRA rollover issue.</w:t>
      </w:r>
    </w:p>
    <w:p w14:paraId="6506B151" w14:textId="3167001F" w:rsidR="00137C73" w:rsidRPr="00137C73" w:rsidRDefault="00AD5FB1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State options. </w:t>
      </w:r>
      <w:r w:rsidR="00492D31">
        <w:rPr>
          <w:rFonts w:ascii="Arial" w:hAnsi="Arial" w:cs="Arial"/>
          <w:sz w:val="22"/>
          <w:szCs w:val="22"/>
        </w:rPr>
        <w:t xml:space="preserve">It’s important to note that </w:t>
      </w:r>
      <w:r w:rsidR="00137C73" w:rsidRPr="00137C73">
        <w:rPr>
          <w:rFonts w:ascii="Arial" w:hAnsi="Arial" w:cs="Arial"/>
          <w:sz w:val="22"/>
          <w:szCs w:val="22"/>
        </w:rPr>
        <w:t xml:space="preserve">529 plans </w:t>
      </w:r>
      <w:r w:rsidR="00492D31" w:rsidRPr="00492D31">
        <w:rPr>
          <w:rFonts w:ascii="Arial" w:hAnsi="Arial" w:cs="Arial"/>
          <w:sz w:val="22"/>
          <w:szCs w:val="22"/>
        </w:rPr>
        <w:t>vary from state to state</w:t>
      </w:r>
      <w:r w:rsidR="00137C73" w:rsidRPr="00137C73">
        <w:rPr>
          <w:rFonts w:ascii="Arial" w:hAnsi="Arial" w:cs="Arial"/>
          <w:sz w:val="22"/>
          <w:szCs w:val="22"/>
        </w:rPr>
        <w:t>, and you</w:t>
      </w:r>
      <w:r w:rsidR="00982B41">
        <w:rPr>
          <w:rFonts w:ascii="Arial" w:hAnsi="Arial" w:cs="Arial"/>
          <w:sz w:val="22"/>
          <w:szCs w:val="22"/>
        </w:rPr>
        <w:t>’</w:t>
      </w:r>
      <w:r w:rsidR="00137C73" w:rsidRPr="00137C73">
        <w:rPr>
          <w:rFonts w:ascii="Arial" w:hAnsi="Arial" w:cs="Arial"/>
          <w:sz w:val="22"/>
          <w:szCs w:val="22"/>
        </w:rPr>
        <w:t>re not limited to your home state</w:t>
      </w:r>
      <w:r w:rsidR="00982B41">
        <w:rPr>
          <w:rFonts w:ascii="Arial" w:hAnsi="Arial" w:cs="Arial"/>
          <w:sz w:val="22"/>
          <w:szCs w:val="22"/>
        </w:rPr>
        <w:t>’</w:t>
      </w:r>
      <w:r w:rsidR="00137C73" w:rsidRPr="00137C73">
        <w:rPr>
          <w:rFonts w:ascii="Arial" w:hAnsi="Arial" w:cs="Arial"/>
          <w:sz w:val="22"/>
          <w:szCs w:val="22"/>
        </w:rPr>
        <w:t>s plan. However, it</w:t>
      </w:r>
      <w:r w:rsidR="00982B41">
        <w:rPr>
          <w:rFonts w:ascii="Arial" w:hAnsi="Arial" w:cs="Arial"/>
          <w:sz w:val="22"/>
          <w:szCs w:val="22"/>
        </w:rPr>
        <w:t>’</w:t>
      </w:r>
      <w:r w:rsidR="00137C73" w:rsidRPr="00137C73">
        <w:rPr>
          <w:rFonts w:ascii="Arial" w:hAnsi="Arial" w:cs="Arial"/>
          <w:sz w:val="22"/>
          <w:szCs w:val="22"/>
        </w:rPr>
        <w:t xml:space="preserve">s smart to </w:t>
      </w:r>
      <w:r w:rsidR="00492D31" w:rsidRPr="00492D31">
        <w:rPr>
          <w:rFonts w:ascii="Arial" w:hAnsi="Arial" w:cs="Arial"/>
          <w:sz w:val="22"/>
          <w:szCs w:val="22"/>
        </w:rPr>
        <w:t>examine</w:t>
      </w:r>
      <w:r w:rsidR="00137C73" w:rsidRPr="00137C73">
        <w:rPr>
          <w:rFonts w:ascii="Arial" w:hAnsi="Arial" w:cs="Arial"/>
          <w:sz w:val="22"/>
          <w:szCs w:val="22"/>
        </w:rPr>
        <w:t xml:space="preserve"> your home state</w:t>
      </w:r>
      <w:r w:rsidR="00982B41">
        <w:rPr>
          <w:rFonts w:ascii="Arial" w:hAnsi="Arial" w:cs="Arial"/>
          <w:sz w:val="22"/>
          <w:szCs w:val="22"/>
        </w:rPr>
        <w:t>’</w:t>
      </w:r>
      <w:r w:rsidR="00137C73" w:rsidRPr="00137C73">
        <w:rPr>
          <w:rFonts w:ascii="Arial" w:hAnsi="Arial" w:cs="Arial"/>
          <w:sz w:val="22"/>
          <w:szCs w:val="22"/>
        </w:rPr>
        <w:t>s offerings first, as many provide special incentives like tax breaks for residents.</w:t>
      </w:r>
    </w:p>
    <w:p w14:paraId="4CCD6EAE" w14:textId="0A2D8A35" w:rsidR="00137C73" w:rsidRPr="00137C73" w:rsidRDefault="00137C73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 w:rsidRPr="00137C73">
        <w:rPr>
          <w:rFonts w:ascii="Arial" w:hAnsi="Arial" w:cs="Arial"/>
          <w:sz w:val="22"/>
          <w:szCs w:val="22"/>
        </w:rPr>
        <w:t>When comparing plans, consider factors such as tax benefits, fees, investment options and ease of use. A good financial advisor can help you navigate these choices and identify the plan that makes the most sense for your family</w:t>
      </w:r>
      <w:r w:rsidR="00982B41">
        <w:rPr>
          <w:rFonts w:ascii="Arial" w:hAnsi="Arial" w:cs="Arial"/>
          <w:sz w:val="22"/>
          <w:szCs w:val="22"/>
        </w:rPr>
        <w:t>’</w:t>
      </w:r>
      <w:r w:rsidRPr="00137C73">
        <w:rPr>
          <w:rFonts w:ascii="Arial" w:hAnsi="Arial" w:cs="Arial"/>
          <w:sz w:val="22"/>
          <w:szCs w:val="22"/>
        </w:rPr>
        <w:t>s specific situation and goals.</w:t>
      </w:r>
    </w:p>
    <w:p w14:paraId="001BE587" w14:textId="7BA8F594" w:rsidR="00137C73" w:rsidRDefault="00137C73" w:rsidP="00EE2630">
      <w:pPr>
        <w:spacing w:after="60" w:line="360" w:lineRule="auto"/>
        <w:ind w:firstLine="720"/>
        <w:rPr>
          <w:rFonts w:ascii="Arial" w:hAnsi="Arial" w:cs="Arial"/>
          <w:sz w:val="22"/>
          <w:szCs w:val="22"/>
        </w:rPr>
      </w:pPr>
      <w:r w:rsidRPr="00137C73">
        <w:rPr>
          <w:rFonts w:ascii="Arial" w:hAnsi="Arial" w:cs="Arial"/>
          <w:sz w:val="22"/>
          <w:szCs w:val="22"/>
        </w:rPr>
        <w:t xml:space="preserve">529 education savings plans offer flexibility and tax advantages that </w:t>
      </w:r>
      <w:r w:rsidR="004F3C84">
        <w:rPr>
          <w:rFonts w:ascii="Arial" w:hAnsi="Arial" w:cs="Arial"/>
          <w:sz w:val="22"/>
          <w:szCs w:val="22"/>
        </w:rPr>
        <w:t xml:space="preserve">help </w:t>
      </w:r>
      <w:r w:rsidRPr="00137C73">
        <w:rPr>
          <w:rFonts w:ascii="Arial" w:hAnsi="Arial" w:cs="Arial"/>
          <w:sz w:val="22"/>
          <w:szCs w:val="22"/>
        </w:rPr>
        <w:t xml:space="preserve">make them an excellent tool for education planning. With their expanded uses and multiple options for unused funds, they </w:t>
      </w:r>
      <w:r w:rsidR="004F3C84">
        <w:rPr>
          <w:rFonts w:ascii="Arial" w:hAnsi="Arial" w:cs="Arial"/>
          <w:sz w:val="22"/>
          <w:szCs w:val="22"/>
        </w:rPr>
        <w:t xml:space="preserve">can help </w:t>
      </w:r>
      <w:r w:rsidRPr="00137C73">
        <w:rPr>
          <w:rFonts w:ascii="Arial" w:hAnsi="Arial" w:cs="Arial"/>
          <w:sz w:val="22"/>
          <w:szCs w:val="22"/>
        </w:rPr>
        <w:t>provide families with both security and adaptability in preparing for their children</w:t>
      </w:r>
      <w:r w:rsidR="00982B41">
        <w:rPr>
          <w:rFonts w:ascii="Arial" w:hAnsi="Arial" w:cs="Arial"/>
          <w:sz w:val="22"/>
          <w:szCs w:val="22"/>
        </w:rPr>
        <w:t>’</w:t>
      </w:r>
      <w:r w:rsidRPr="00137C73">
        <w:rPr>
          <w:rFonts w:ascii="Arial" w:hAnsi="Arial" w:cs="Arial"/>
          <w:sz w:val="22"/>
          <w:szCs w:val="22"/>
        </w:rPr>
        <w:t>s educational futures.</w:t>
      </w:r>
    </w:p>
    <w:p w14:paraId="650AAA92" w14:textId="6BFABE0D" w:rsidR="00081219" w:rsidRDefault="00081219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67074B0C" w14:textId="77777777" w:rsidR="00AC1FC1" w:rsidRDefault="00AC1FC1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4EDB6FD9" w14:textId="77777777" w:rsidR="00AC1FC1" w:rsidRPr="009A5033" w:rsidRDefault="00AC1FC1" w:rsidP="00AC1FC1">
      <w:pPr>
        <w:spacing w:after="6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535EA861" w14:textId="77777777" w:rsidR="00AC1FC1" w:rsidRDefault="00AC1FC1" w:rsidP="00AC1FC1">
      <w:pPr>
        <w:spacing w:after="6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716E7531" w14:textId="77777777" w:rsidR="00AC1FC1" w:rsidRPr="00AC1FC1" w:rsidRDefault="00AC1FC1" w:rsidP="00AC1FC1">
      <w:pPr>
        <w:spacing w:after="60" w:line="360" w:lineRule="auto"/>
        <w:rPr>
          <w:rFonts w:ascii="Arial" w:hAnsi="Arial" w:cs="Arial"/>
          <w:i/>
          <w:sz w:val="22"/>
          <w:szCs w:val="22"/>
        </w:rPr>
      </w:pPr>
      <w:r w:rsidRPr="00AC1FC1">
        <w:rPr>
          <w:rFonts w:ascii="Arial" w:hAnsi="Arial" w:cs="Arial"/>
          <w:i/>
          <w:sz w:val="22"/>
          <w:szCs w:val="22"/>
        </w:rPr>
        <w:t>Investments in 529 plans will fluctuate with changes in market conditions and may be worth more or less than the original investment when redeemed.</w:t>
      </w:r>
    </w:p>
    <w:p w14:paraId="5A822BE9" w14:textId="77777777" w:rsidR="00AC1FC1" w:rsidRDefault="00AC1FC1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703F7A05" w14:textId="1FE73688" w:rsidR="00492D31" w:rsidRDefault="00492D31" w:rsidP="00EE2630">
      <w:pPr>
        <w:spacing w:after="6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4E39098D" w14:textId="77777777" w:rsidR="00492D31" w:rsidRDefault="00492D31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7D304A40" w14:textId="6226C2BB" w:rsidR="00492D31" w:rsidRDefault="00492D31" w:rsidP="00EE2630">
      <w:pPr>
        <w:spacing w:after="6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C1FC1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 words</w:t>
      </w:r>
    </w:p>
    <w:p w14:paraId="409D65E5" w14:textId="77777777" w:rsidR="00492D31" w:rsidRDefault="00492D31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715AEAB7" w14:textId="77777777" w:rsidR="00492D31" w:rsidRDefault="00492D31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37631C3F" w14:textId="77777777" w:rsidR="00492D31" w:rsidRPr="00492D31" w:rsidRDefault="00492D31" w:rsidP="00EE2630">
      <w:pPr>
        <w:spacing w:after="60" w:line="360" w:lineRule="auto"/>
        <w:rPr>
          <w:rFonts w:ascii="Arial" w:hAnsi="Arial" w:cs="Arial"/>
          <w:sz w:val="22"/>
          <w:szCs w:val="22"/>
        </w:rPr>
      </w:pPr>
    </w:p>
    <w:sectPr w:rsidR="00492D31" w:rsidRPr="0049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EA8"/>
    <w:multiLevelType w:val="hybridMultilevel"/>
    <w:tmpl w:val="485C4DF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66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73"/>
    <w:rsid w:val="00032BA5"/>
    <w:rsid w:val="00081219"/>
    <w:rsid w:val="00137C73"/>
    <w:rsid w:val="00244BA9"/>
    <w:rsid w:val="002852A6"/>
    <w:rsid w:val="002A584D"/>
    <w:rsid w:val="002A64D4"/>
    <w:rsid w:val="002F6B79"/>
    <w:rsid w:val="003936A1"/>
    <w:rsid w:val="003A0DFD"/>
    <w:rsid w:val="004717CE"/>
    <w:rsid w:val="00492D31"/>
    <w:rsid w:val="004A1B56"/>
    <w:rsid w:val="004F3C84"/>
    <w:rsid w:val="00505982"/>
    <w:rsid w:val="00611503"/>
    <w:rsid w:val="006A67DD"/>
    <w:rsid w:val="006F0E95"/>
    <w:rsid w:val="006F707F"/>
    <w:rsid w:val="00750A99"/>
    <w:rsid w:val="007B3756"/>
    <w:rsid w:val="007F17FD"/>
    <w:rsid w:val="00812449"/>
    <w:rsid w:val="00924929"/>
    <w:rsid w:val="009332C4"/>
    <w:rsid w:val="00967F18"/>
    <w:rsid w:val="00982B41"/>
    <w:rsid w:val="009C0A6E"/>
    <w:rsid w:val="009F2D03"/>
    <w:rsid w:val="00A33C89"/>
    <w:rsid w:val="00A65CE5"/>
    <w:rsid w:val="00A76F44"/>
    <w:rsid w:val="00AC1FC1"/>
    <w:rsid w:val="00AC3B42"/>
    <w:rsid w:val="00AC5F65"/>
    <w:rsid w:val="00AD5FB1"/>
    <w:rsid w:val="00CD71F0"/>
    <w:rsid w:val="00CF288C"/>
    <w:rsid w:val="00D722DC"/>
    <w:rsid w:val="00DB3D37"/>
    <w:rsid w:val="00E06BB7"/>
    <w:rsid w:val="00E17B85"/>
    <w:rsid w:val="00E21F99"/>
    <w:rsid w:val="00E239A7"/>
    <w:rsid w:val="00E27DD9"/>
    <w:rsid w:val="00E53B6B"/>
    <w:rsid w:val="00E63E6F"/>
    <w:rsid w:val="00E742D1"/>
    <w:rsid w:val="00ED21CD"/>
    <w:rsid w:val="00EE2630"/>
    <w:rsid w:val="00F3099C"/>
    <w:rsid w:val="00F95D70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B120E"/>
  <w15:chartTrackingRefBased/>
  <w15:docId w15:val="{6BB0AB36-CBF2-4F15-AF77-ADA2D050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73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492D31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AC3B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52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472">
              <w:marLeft w:val="0"/>
              <w:marRight w:val="0"/>
              <w:marTop w:val="75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</w:div>
          </w:divsChild>
        </w:div>
      </w:divsChild>
    </w:div>
    <w:div w:id="743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7155">
              <w:marLeft w:val="0"/>
              <w:marRight w:val="0"/>
              <w:marTop w:val="75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wardjones.com/us-en/why-edward-jones/news-media/press-releases/americans-unaware-529-pl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2</cp:revision>
  <dcterms:created xsi:type="dcterms:W3CDTF">2025-07-21T16:31:00Z</dcterms:created>
  <dcterms:modified xsi:type="dcterms:W3CDTF">2025-07-21T16:31:00Z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ea057164-2553-4087-834b-f3491270dc42</vt:lpwstr>
  </property>
</Properties>
</file>